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4C06" w14:textId="30407F59" w:rsidR="00805CFE" w:rsidRPr="003E0136" w:rsidRDefault="00805CFE" w:rsidP="00805CFE">
      <w:pPr>
        <w:rPr>
          <w:rFonts w:ascii="Georgia" w:hAnsi="Georgia" w:cs="Arial"/>
          <w:b/>
        </w:rPr>
      </w:pPr>
      <w:r w:rsidRPr="003E0136">
        <w:rPr>
          <w:rFonts w:ascii="Georgia" w:hAnsi="Georgia" w:cs="Arial"/>
          <w:b/>
        </w:rPr>
        <w:t xml:space="preserve">INTERNAL </w:t>
      </w:r>
      <w:r w:rsidR="006A5343" w:rsidRPr="003E0136">
        <w:rPr>
          <w:rFonts w:ascii="Georgia" w:hAnsi="Georgia" w:cs="Arial"/>
          <w:b/>
        </w:rPr>
        <w:t>FI</w:t>
      </w:r>
      <w:r w:rsidRPr="003E0136">
        <w:rPr>
          <w:rFonts w:ascii="Georgia" w:hAnsi="Georgia" w:cs="Arial"/>
          <w:b/>
        </w:rPr>
        <w:t xml:space="preserve"> </w:t>
      </w:r>
      <w:r w:rsidR="005A6BB8" w:rsidRPr="003E0136">
        <w:rPr>
          <w:rFonts w:ascii="Georgia" w:hAnsi="Georgia" w:cs="Arial"/>
          <w:b/>
        </w:rPr>
        <w:t>–</w:t>
      </w:r>
      <w:r w:rsidR="000A73A7" w:rsidRPr="003E0136">
        <w:rPr>
          <w:rFonts w:ascii="Georgia" w:hAnsi="Georgia" w:cs="Arial"/>
          <w:b/>
        </w:rPr>
        <w:t xml:space="preserve"> </w:t>
      </w:r>
      <w:r w:rsidRPr="003E0136">
        <w:rPr>
          <w:rFonts w:ascii="Georgia" w:hAnsi="Georgia" w:cs="Arial"/>
          <w:b/>
        </w:rPr>
        <w:t>PORTFOLIO</w:t>
      </w:r>
      <w:r w:rsidR="000A73A7" w:rsidRPr="003E0136">
        <w:rPr>
          <w:rFonts w:ascii="Georgia" w:hAnsi="Georgia" w:cs="Arial"/>
          <w:b/>
        </w:rPr>
        <w:t xml:space="preserve"> LEVEL</w:t>
      </w:r>
      <w:r w:rsidRPr="003E0136">
        <w:rPr>
          <w:rFonts w:ascii="Georgia" w:hAnsi="Georgia" w:cs="Arial"/>
          <w:b/>
        </w:rPr>
        <w:t xml:space="preserve"> </w:t>
      </w:r>
      <w:r w:rsidR="00080939" w:rsidRPr="003E0136">
        <w:rPr>
          <w:rFonts w:ascii="Georgia" w:hAnsi="Georgia" w:cs="Arial"/>
          <w:b/>
        </w:rPr>
        <w:t>E&amp;S</w:t>
      </w:r>
      <w:r w:rsidRPr="003E0136">
        <w:rPr>
          <w:rFonts w:ascii="Georgia" w:hAnsi="Georgia" w:cs="Arial"/>
          <w:b/>
        </w:rPr>
        <w:t xml:space="preserve"> </w:t>
      </w:r>
      <w:r w:rsidR="00080939" w:rsidRPr="003E0136">
        <w:rPr>
          <w:rFonts w:ascii="Georgia" w:hAnsi="Georgia" w:cs="Arial"/>
          <w:b/>
        </w:rPr>
        <w:t xml:space="preserve">MONITORING AND </w:t>
      </w:r>
      <w:r w:rsidRPr="003E0136">
        <w:rPr>
          <w:rFonts w:ascii="Georgia" w:hAnsi="Georgia" w:cs="Arial"/>
          <w:b/>
        </w:rPr>
        <w:t xml:space="preserve">REPORTING TEMPLATE 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3950"/>
      </w:tblGrid>
      <w:tr w:rsidR="00805CFE" w:rsidRPr="003E0136" w14:paraId="509B2502" w14:textId="77777777" w:rsidTr="00A31B10">
        <w:trPr>
          <w:trHeight w:val="266"/>
        </w:trPr>
        <w:tc>
          <w:tcPr>
            <w:tcW w:w="13950" w:type="dxa"/>
            <w:shd w:val="clear" w:color="auto" w:fill="C6D9F1"/>
          </w:tcPr>
          <w:p w14:paraId="60C3814E" w14:textId="09930138" w:rsidR="00A376B7" w:rsidRPr="003E0136" w:rsidRDefault="00A31B10" w:rsidP="00805CFE">
            <w:pPr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Note - </w:t>
            </w:r>
            <w:r w:rsidR="00805CF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The purpose of th</w:t>
            </w:r>
            <w:r w:rsidR="0055164B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is i</w:t>
            </w:r>
            <w:r w:rsidR="00277AB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nternal </w:t>
            </w:r>
            <w:r w:rsidR="00080939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Financial Institution (FI)</w:t>
            </w:r>
            <w:r w:rsidR="005A6BB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77AB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Portfolio E&amp;S </w:t>
            </w:r>
            <w:r w:rsidR="00080939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Monitoring and </w:t>
            </w:r>
            <w:r w:rsidR="00277AB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Reporting Template</w:t>
            </w:r>
            <w:r w:rsidR="00805CF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is to provide FI’s with guidance on the </w:t>
            </w:r>
            <w:r w:rsidR="00F538EC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types of </w:t>
            </w:r>
            <w:r w:rsidR="00805CF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E&amp;S </w:t>
            </w:r>
            <w:r w:rsidR="00685877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information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to </w:t>
            </w:r>
            <w:r w:rsidR="00D87DC2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be</w:t>
            </w:r>
            <w:r w:rsidR="00685877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collected</w:t>
            </w:r>
            <w:r w:rsidR="000A73A7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, monitored and reports at regular intervals 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at a</w:t>
            </w:r>
            <w:r w:rsidR="00685877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n FI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portfolio level</w:t>
            </w:r>
            <w:r w:rsidR="00D87DC2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This</w:t>
            </w:r>
            <w:r w:rsidR="000A73A7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E&amp;S information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support</w:t>
            </w:r>
            <w:r w:rsidR="001D75A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s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the FI</w:t>
            </w:r>
            <w:r w:rsidR="001D75A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in monitoring</w:t>
            </w:r>
            <w:r w:rsidR="00B045D1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the</w:t>
            </w:r>
            <w:r w:rsidR="001D75A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on-going E&amp;S</w:t>
            </w:r>
            <w:r w:rsidR="008C1C29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performance</w:t>
            </w:r>
            <w:r w:rsidR="00B045D1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of its client portfolio</w:t>
            </w:r>
            <w:r w:rsidR="001D75A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A6BB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(including risks and opportunities)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,</w:t>
            </w:r>
            <w:r w:rsidR="00B045D1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to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remain abreast</w:t>
            </w:r>
            <w:r w:rsidR="00B045D1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and be in a position to proactively manage / engage with clients on any existing or new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areas of concern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, as well as 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draw</w:t>
            </w:r>
            <w:r w:rsidR="00B045D1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ing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on</w:t>
            </w:r>
            <w:r w:rsidR="00B045D1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such information to compile </w:t>
            </w:r>
            <w:r w:rsidR="00F45035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internal or external E&amp;S disclosures for its stakeholders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(</w:t>
            </w:r>
            <w:r w:rsidR="007339D1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i.e.,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annual</w:t>
            </w:r>
            <w:r w:rsidR="00F45035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ESG or Sustainability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F45035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R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eports,</w:t>
            </w:r>
            <w:r w:rsidR="00F45035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Integrated Reports,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etc.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). 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The relevant E&amp;S data shall be 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obtained from the client’s application/file and where appropriate c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ollected</w:t>
            </w:r>
            <w:r w:rsidR="00575374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from the client 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t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hrough </w:t>
            </w:r>
            <w:r w:rsidR="003E360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focused 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E&amp;S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monitoring and 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r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eporting mechani</w:t>
            </w:r>
            <w:r w:rsidR="003E360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sms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, set</w:t>
            </w:r>
            <w:r w:rsidR="003E360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up and agreed with the client</w:t>
            </w:r>
            <w:r w:rsidR="00DD596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as part of the FI’s ESMS (refer to the Monitoring and Reporting for additional guidance</w:t>
            </w:r>
            <w:r w:rsidR="00D87DC2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). 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FI’s </w:t>
            </w:r>
            <w:r w:rsidR="00D332D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commonly apply </w:t>
            </w:r>
            <w:r w:rsidR="00AB51D8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this type of monitoring </w:t>
            </w:r>
            <w:r w:rsidR="00D332D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to </w:t>
            </w:r>
            <w:r w:rsidR="00A376B7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high and medium risk transactions only</w:t>
            </w:r>
            <w:r w:rsidR="00D332D3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. </w:t>
            </w:r>
          </w:p>
          <w:p w14:paraId="652015C0" w14:textId="77777777" w:rsidR="00805CFE" w:rsidRPr="003E0136" w:rsidRDefault="00805CFE" w:rsidP="00805CFE">
            <w:pPr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</w:pPr>
          </w:p>
          <w:p w14:paraId="18820F8C" w14:textId="4DDFFCBB" w:rsidR="00805CFE" w:rsidRPr="003E0136" w:rsidRDefault="00D87DC2" w:rsidP="00D87DC2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Please note that this is not an exhaustive template and that this is intended to be tailored for different FI</w:t>
            </w:r>
            <w:r w:rsidR="007915C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contexts</w:t>
            </w: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depending on their organisation,</w:t>
            </w:r>
            <w:r w:rsidR="007915C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the types of finance they provide,</w:t>
            </w: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DD101F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the </w:t>
            </w: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nature of the</w:t>
            </w:r>
            <w:r w:rsidR="00DD101F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ir</w:t>
            </w: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915C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client</w:t>
            </w: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portfolio, etc. In </w:t>
            </w:r>
            <w:r w:rsidR="00C05380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order to increase efficiencies and </w:t>
            </w:r>
            <w:r w:rsidR="00714CB9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ensure that such information is easily accessible,</w:t>
            </w:r>
            <w:r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a</w:t>
            </w:r>
            <w:r w:rsidR="00805CF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n FI should</w:t>
            </w:r>
            <w:r w:rsidR="00DD101F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seeks to</w:t>
            </w:r>
            <w:r w:rsidR="00805CF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incorporate </w:t>
            </w:r>
            <w:r w:rsidR="00DD101F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this E&amp;S monitoring and reporting into existing information management systems </w:t>
            </w:r>
            <w:r w:rsidR="00C05380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used by the FI to monitor other types of information (</w:t>
            </w:r>
            <w:r w:rsidR="00E8049E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i.e.,</w:t>
            </w:r>
            <w:r w:rsidR="00C05380" w:rsidRPr="003E0136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 xml:space="preserve"> technical and financial information) where feasible.</w:t>
            </w:r>
          </w:p>
        </w:tc>
      </w:tr>
    </w:tbl>
    <w:p w14:paraId="6AE78B93" w14:textId="77777777" w:rsidR="00805CFE" w:rsidRPr="003E0136" w:rsidRDefault="00805CFE" w:rsidP="00805CFE">
      <w:pPr>
        <w:rPr>
          <w:rFonts w:ascii="Georgia" w:hAnsi="Georgia" w:cs="Arial"/>
          <w:b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0B36FE" w:rsidRPr="003E0136" w14:paraId="45A47E2D" w14:textId="77777777" w:rsidTr="00966B5C">
        <w:trPr>
          <w:cantSplit/>
          <w:trHeight w:val="7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2C0B395D" w14:textId="1A0073AD" w:rsidR="000B36FE" w:rsidRPr="003E0136" w:rsidRDefault="0028437E" w:rsidP="00966B5C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REPORTING PERIOD</w:t>
            </w:r>
            <w:r w:rsidR="000B36FE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437E" w:rsidRPr="003E0136" w14:paraId="346294A4" w14:textId="77777777" w:rsidTr="00BA1BA7">
        <w:trPr>
          <w:cantSplit/>
          <w:trHeight w:val="7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425CA" w14:textId="16261344" w:rsidR="0028437E" w:rsidRPr="003E0136" w:rsidRDefault="0028437E" w:rsidP="00756A47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B085" w14:textId="05154182" w:rsidR="0028437E" w:rsidRPr="003E0136" w:rsidRDefault="0028437E" w:rsidP="00756A47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28437E" w:rsidRPr="003E0136" w14:paraId="42EA52BD" w14:textId="77777777" w:rsidTr="00BA1BA7">
        <w:trPr>
          <w:cantSplit/>
          <w:trHeight w:val="131"/>
        </w:trPr>
        <w:tc>
          <w:tcPr>
            <w:tcW w:w="2500" w:type="pct"/>
            <w:shd w:val="clear" w:color="auto" w:fill="auto"/>
            <w:vAlign w:val="center"/>
          </w:tcPr>
          <w:p w14:paraId="7B718435" w14:textId="21F2B26D" w:rsidR="0028437E" w:rsidRPr="003E0136" w:rsidRDefault="0028437E" w:rsidP="00756A47">
            <w:pPr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24241FE" w14:textId="5482F119" w:rsidR="0028437E" w:rsidRPr="003E0136" w:rsidRDefault="0028437E" w:rsidP="00756A47">
            <w:pPr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</w:tbl>
    <w:p w14:paraId="614426B3" w14:textId="77777777" w:rsidR="009D22CE" w:rsidRPr="003E0136" w:rsidRDefault="009D22CE">
      <w:pPr>
        <w:rPr>
          <w:rFonts w:ascii="Georgia" w:hAnsi="Georg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7"/>
        <w:gridCol w:w="3986"/>
        <w:gridCol w:w="4455"/>
      </w:tblGrid>
      <w:tr w:rsidR="00756A47" w:rsidRPr="003E0136" w14:paraId="61A19546" w14:textId="77777777" w:rsidTr="00966B5C">
        <w:trPr>
          <w:cantSplit/>
          <w:trHeight w:val="39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3DB19B5A" w14:textId="1C7E05B7" w:rsidR="00756A47" w:rsidRPr="003E0136" w:rsidRDefault="00756A47" w:rsidP="00966B5C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OVERVIEW OF FI’S PORTFOLIO </w:t>
            </w:r>
          </w:p>
        </w:tc>
      </w:tr>
      <w:tr w:rsidR="00241919" w:rsidRPr="003E0136" w14:paraId="7BD017CC" w14:textId="77777777" w:rsidTr="00966B5C">
        <w:trPr>
          <w:cantSplit/>
          <w:trHeight w:val="361"/>
        </w:trPr>
        <w:tc>
          <w:tcPr>
            <w:tcW w:w="5000" w:type="pct"/>
            <w:gridSpan w:val="3"/>
            <w:shd w:val="clear" w:color="auto" w:fill="C6D9F1"/>
          </w:tcPr>
          <w:p w14:paraId="4FA0462F" w14:textId="74BE95E2" w:rsidR="00241919" w:rsidRPr="003E0136" w:rsidRDefault="00241919" w:rsidP="00241919">
            <w:pPr>
              <w:pStyle w:val="ListParagraph"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Overview of </w:t>
            </w:r>
            <w:r w:rsidR="005C4282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Transaction Type</w:t>
            </w:r>
            <w:r w:rsidR="0076690E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s</w:t>
            </w:r>
          </w:p>
          <w:p w14:paraId="13FA13A3" w14:textId="1DC91D2A" w:rsidR="00241919" w:rsidRPr="003E0136" w:rsidRDefault="005C551F" w:rsidP="004E4FAC">
            <w:pPr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Provide</w:t>
            </w:r>
            <w:r w:rsidR="00287AB4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a breakdown of the FI’s portfolio per financial instruments/products offered </w:t>
            </w:r>
          </w:p>
        </w:tc>
      </w:tr>
      <w:tr w:rsidR="00241919" w:rsidRPr="003E0136" w14:paraId="2D5EDAB8" w14:textId="77777777" w:rsidTr="0076690E">
        <w:trPr>
          <w:cantSplit/>
          <w:trHeight w:val="297"/>
        </w:trPr>
        <w:tc>
          <w:tcPr>
            <w:tcW w:w="1974" w:type="pct"/>
            <w:shd w:val="clear" w:color="auto" w:fill="F2F2F2" w:themeFill="background1" w:themeFillShade="F2"/>
            <w:vAlign w:val="center"/>
          </w:tcPr>
          <w:p w14:paraId="2F3CE599" w14:textId="4770A4A8" w:rsidR="00241919" w:rsidRPr="003E0136" w:rsidRDefault="00994D7A" w:rsidP="00994D7A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Transaction Type</w:t>
            </w:r>
          </w:p>
        </w:tc>
        <w:tc>
          <w:tcPr>
            <w:tcW w:w="1429" w:type="pct"/>
            <w:tcBorders>
              <w:bottom w:val="single" w:sz="4" w:space="0" w:color="C6D9F1"/>
            </w:tcBorders>
            <w:shd w:val="clear" w:color="auto" w:fill="F2F2F2" w:themeFill="background1" w:themeFillShade="F2"/>
            <w:vAlign w:val="center"/>
          </w:tcPr>
          <w:p w14:paraId="462C6CFD" w14:textId="40719E86" w:rsidR="00241919" w:rsidRPr="003E0136" w:rsidRDefault="00241919" w:rsidP="0076690E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597" w:type="pct"/>
            <w:tcBorders>
              <w:bottom w:val="single" w:sz="4" w:space="0" w:color="C6D9F1"/>
            </w:tcBorders>
            <w:shd w:val="clear" w:color="auto" w:fill="F2F2F2" w:themeFill="background1" w:themeFillShade="F2"/>
            <w:vAlign w:val="center"/>
          </w:tcPr>
          <w:p w14:paraId="4E40F75F" w14:textId="29D972CE" w:rsidR="00241919" w:rsidRPr="003E0136" w:rsidRDefault="00C8714B" w:rsidP="0076690E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Proportion of </w:t>
            </w:r>
            <w:r w:rsidR="00241919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Portfolio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F3222A" w:rsidRPr="003E0136" w14:paraId="3C7E8564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F9769" w14:textId="061B0686" w:rsidR="006B0E86" w:rsidRPr="003E0136" w:rsidRDefault="006B0E86" w:rsidP="006B0E86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Project Finance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7ACC" w14:textId="55D607FD" w:rsidR="006B0E86" w:rsidRPr="003E0136" w:rsidRDefault="006B0E86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4228E" w14:textId="26DCCC43" w:rsidR="006B0E86" w:rsidRPr="003E0136" w:rsidRDefault="006B0E86" w:rsidP="006B0E86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F3222A" w:rsidRPr="003E0136" w14:paraId="2A922F68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CB74B" w14:textId="1491F4A1" w:rsidR="006B0E86" w:rsidRPr="003E0136" w:rsidRDefault="006B0E86" w:rsidP="006B0E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Corporate Finance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0A710" w14:textId="77777777" w:rsidR="006B0E86" w:rsidRPr="003E0136" w:rsidRDefault="006B0E86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0388" w14:textId="77777777" w:rsidR="006B0E86" w:rsidRPr="003E0136" w:rsidRDefault="006B0E86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F3222A" w:rsidRPr="003E0136" w14:paraId="751C7C5E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A3894" w14:textId="79630737" w:rsidR="006B0E86" w:rsidRPr="003E0136" w:rsidRDefault="006B0E86" w:rsidP="006B0E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SME Financing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4454" w14:textId="77777777" w:rsidR="006B0E86" w:rsidRPr="003E0136" w:rsidRDefault="006B0E86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F3E0F" w14:textId="77777777" w:rsidR="006B0E86" w:rsidRPr="003E0136" w:rsidRDefault="006B0E86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F3222A" w:rsidRPr="003E0136" w14:paraId="5293CF6E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44622" w14:textId="50CE0C11" w:rsidR="006B0E86" w:rsidRPr="003E0136" w:rsidRDefault="00C401A7" w:rsidP="006B0E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Insurance</w:t>
            </w:r>
            <w:r w:rsidR="006B0E86" w:rsidRPr="003E0136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36D28" w14:textId="77777777" w:rsidR="006B0E86" w:rsidRPr="003E0136" w:rsidRDefault="006B0E86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F531A" w14:textId="77777777" w:rsidR="006B0E86" w:rsidRPr="003E0136" w:rsidRDefault="006B0E86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BF5A52" w:rsidRPr="003E0136" w14:paraId="4F4EEC4A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48133" w14:textId="04A80D58" w:rsidR="00BF5A52" w:rsidRPr="003E0136" w:rsidRDefault="00BF5A52" w:rsidP="006B0E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[FI to tailor and include additional categories]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D3CCC" w14:textId="77777777" w:rsidR="00BF5A52" w:rsidRPr="003E0136" w:rsidRDefault="00BF5A52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22B96" w14:textId="77777777" w:rsidR="00BF5A52" w:rsidRPr="003E0136" w:rsidRDefault="00BF5A52" w:rsidP="006B0E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A05BBD" w:rsidRPr="003E0136" w14:paraId="129F3951" w14:textId="77777777" w:rsidTr="00BA1BA7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12F6E" w14:textId="6C3952A4" w:rsidR="00A05BBD" w:rsidRPr="003E0136" w:rsidRDefault="00A05BBD" w:rsidP="00BA1BA7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565BA" w14:textId="77777777" w:rsidR="00A05BBD" w:rsidRPr="003E0136" w:rsidRDefault="00A05BBD" w:rsidP="00BA1BA7">
            <w:pPr>
              <w:jc w:val="right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C7772" w14:textId="77777777" w:rsidR="00A05BBD" w:rsidRPr="003E0136" w:rsidRDefault="00A05BBD" w:rsidP="00BA1BA7">
            <w:pPr>
              <w:jc w:val="right"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C401A7" w:rsidRPr="003E0136" w14:paraId="39B4068F" w14:textId="77777777" w:rsidTr="00BA1BA7">
        <w:trPr>
          <w:cantSplit/>
          <w:trHeight w:val="30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C315A6" w14:textId="52E400ED" w:rsidR="00C401A7" w:rsidRPr="003E0136" w:rsidRDefault="00771357" w:rsidP="002503B8">
            <w:pPr>
              <w:pStyle w:val="ListParagraph"/>
              <w:keepNext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>Breakdown of E&amp;S credit lines</w:t>
            </w:r>
          </w:p>
          <w:p w14:paraId="1A6BEEC7" w14:textId="6B888A98" w:rsidR="00C401A7" w:rsidRPr="003E0136" w:rsidRDefault="00C401A7" w:rsidP="002503B8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Provide a breakdown of the FI’s portfolio per </w:t>
            </w:r>
            <w:r w:rsidR="00212386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E&amp;S credit lines /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products offered</w:t>
            </w:r>
          </w:p>
        </w:tc>
      </w:tr>
      <w:tr w:rsidR="00212386" w:rsidRPr="003E0136" w14:paraId="4BE6B8DE" w14:textId="77777777" w:rsidTr="002F30C4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D0C89" w14:textId="7B157AE8" w:rsidR="00212386" w:rsidRPr="003E0136" w:rsidRDefault="00212386" w:rsidP="002503B8">
            <w:pPr>
              <w:keepNext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Transaction Type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6D331" w14:textId="021918E3" w:rsidR="00212386" w:rsidRPr="003E0136" w:rsidRDefault="00212386" w:rsidP="002503B8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0B618" w14:textId="161604EE" w:rsidR="00212386" w:rsidRPr="003E0136" w:rsidRDefault="00212386" w:rsidP="002503B8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Portfolio (%)</w:t>
            </w:r>
          </w:p>
        </w:tc>
      </w:tr>
      <w:tr w:rsidR="00212386" w:rsidRPr="003E0136" w14:paraId="342A42AB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C739D" w14:textId="381A1548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Green Finance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3BCE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F2BA6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3C0D4383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89635" w14:textId="5BAF3A0E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Climate Finance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74053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B9E86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6EB8D984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3C158" w14:textId="12AC2576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[FI to tailor and include additional</w:t>
            </w:r>
            <w:r w:rsidR="00A80B07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80B07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creditlines</w:t>
            </w:r>
            <w:proofErr w:type="spellEnd"/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D351F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BAC2B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1A03A51F" w14:textId="77777777" w:rsidTr="0076690E">
        <w:trPr>
          <w:cantSplit/>
          <w:trHeight w:val="301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77EFD" w14:textId="7F6AC7D4" w:rsidR="00212386" w:rsidRPr="003E0136" w:rsidRDefault="00212386" w:rsidP="002503B8">
            <w:pPr>
              <w:keepNext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FAE3E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C3D96" w14:textId="77777777" w:rsidR="00212386" w:rsidRPr="003E0136" w:rsidRDefault="00212386" w:rsidP="002503B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70613EAE" w14:textId="77777777" w:rsidTr="00966B5C">
        <w:trPr>
          <w:cantSplit/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89213D" w14:textId="7F94DAA3" w:rsidR="00212386" w:rsidRPr="003E0136" w:rsidRDefault="00212386" w:rsidP="00212386">
            <w:pPr>
              <w:pStyle w:val="ListParagraph"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Sectorial Breakdown  </w:t>
            </w:r>
          </w:p>
          <w:p w14:paraId="469F8294" w14:textId="4769970C" w:rsidR="00212386" w:rsidRPr="003E0136" w:rsidRDefault="00212386" w:rsidP="00212386">
            <w:pPr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Provide a sectorial breakdown of the FI’s portfolio according to internal FI sector classification system or internationally accepted frameworks (</w:t>
            </w:r>
            <w:r w:rsidR="00F705C3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i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.e., Global Industry Classification Standard (GICS), North American Industry Classification System (NAICS),</w:t>
            </w:r>
            <w:r w:rsidR="00F705C3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SASB Industry Classification,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etc</w:t>
            </w:r>
            <w:r w:rsidR="00F705C3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.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). </w:t>
            </w:r>
          </w:p>
        </w:tc>
      </w:tr>
      <w:tr w:rsidR="00212386" w:rsidRPr="003E0136" w14:paraId="30A58946" w14:textId="77777777" w:rsidTr="004E4FAC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ECEA" w14:textId="103EC71B" w:rsidR="00212386" w:rsidRPr="003E0136" w:rsidRDefault="00212386" w:rsidP="00212386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29948" w14:textId="53690138" w:rsidR="00212386" w:rsidRPr="003E0136" w:rsidRDefault="00212386" w:rsidP="00212386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FF3B8" w14:textId="71A3309F" w:rsidR="00212386" w:rsidRPr="003E0136" w:rsidRDefault="00212386" w:rsidP="00212386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Proportion of Total </w:t>
            </w:r>
            <w:r w:rsidR="00F705C3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FI 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Portfolio (%)</w:t>
            </w:r>
          </w:p>
        </w:tc>
      </w:tr>
      <w:tr w:rsidR="00212386" w:rsidRPr="003E0136" w14:paraId="4A409DD8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48BB" w14:textId="530D65C2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Agriculture and Fishing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112F22C0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5854DA1E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0ADAE5A2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20081" w14:textId="06AA2929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Food and Beverage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6B7A2170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4761B7F4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7CDC9591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195CA" w14:textId="6F90F28C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Construction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231C4BEA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0F990835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25F3C367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28981" w14:textId="40B67E33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Consumer Goods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2D01EE16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3E177BC3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152913E4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76815" w14:textId="386F64AE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Education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3770E9C9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01C59D1D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232D2F58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CDEA" w14:textId="26D95ADE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Financial Services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1C5C759B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22188EDB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174403A6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C25B9" w14:textId="79CE1058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Healthcare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6FA00E15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6A4940B3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35F99D9A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3B8E1" w14:textId="39B57D3A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Industrials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5838763D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091CEE96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180BC05D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1BE56" w14:textId="3524FE3C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Manufacturing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18CFBE4A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74C3D693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685DD5E0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7FC7A" w14:textId="30F1D811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Infrastructure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0A2DAFA9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15B8A9FC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2C0594C7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7285E" w14:textId="35942D25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Professional and Commercial Services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55248792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7571DBAE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166111E0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26FD3" w14:textId="455B7500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Renewable Energy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1AF8BBAF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5344EDBB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76CFF0C4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1A753" w14:textId="088F43A1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Transportation and Logistics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6F2CF8E3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2B54FF39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558F677F" w14:textId="77777777" w:rsidTr="0076690E">
        <w:trPr>
          <w:cantSplit/>
          <w:trHeight w:val="335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3AFB4" w14:textId="5BE220D2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Extractives and Minerals Processing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32488FBE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24BF2F89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037519B6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AB65" w14:textId="517307E4" w:rsidR="00212386" w:rsidRPr="003E0136" w:rsidRDefault="00212386" w:rsidP="00212386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[FI to tailor and include additional/relevant sectors]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14:paraId="00750641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vAlign w:val="center"/>
          </w:tcPr>
          <w:p w14:paraId="247DA6CF" w14:textId="7777777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33466FAB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B7B5" w14:textId="3B786BD8" w:rsidR="00212386" w:rsidRPr="003E0136" w:rsidRDefault="00212386" w:rsidP="00212386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</w:t>
            </w:r>
            <w:r w:rsidRPr="003E0136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76B61" w14:textId="1E4CE447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F2CCC" w14:textId="06DE47AC" w:rsidR="00212386" w:rsidRPr="003E0136" w:rsidRDefault="00212386" w:rsidP="00212386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3AAC0F0F" w14:textId="77777777" w:rsidTr="00966B5C">
        <w:trPr>
          <w:cantSplit/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6F714E5" w14:textId="4945B0B6" w:rsidR="00212386" w:rsidRPr="003E0136" w:rsidRDefault="00212386" w:rsidP="00212386">
            <w:pPr>
              <w:pStyle w:val="ListParagraph"/>
              <w:keepNext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>Geographical Breakdown</w:t>
            </w:r>
            <w:r w:rsidRPr="003E0136">
              <w:rPr>
                <w:rFonts w:ascii="Georgia" w:hAnsi="Georgia" w:cs="Arial"/>
                <w:i/>
                <w:iCs/>
                <w:sz w:val="18"/>
                <w:szCs w:val="18"/>
              </w:rPr>
              <w:t xml:space="preserve"> </w:t>
            </w:r>
          </w:p>
          <w:p w14:paraId="18958215" w14:textId="41B0491D" w:rsidR="00212386" w:rsidRPr="003E0136" w:rsidDel="00E47E15" w:rsidRDefault="00212386" w:rsidP="00212386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Provide a geographical breakdown of the FI’s portfolio (i.e., countries and / or regions)</w:t>
            </w:r>
          </w:p>
        </w:tc>
      </w:tr>
      <w:tr w:rsidR="00212386" w:rsidRPr="003E0136" w14:paraId="5911C158" w14:textId="77777777" w:rsidTr="004E4FAC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536C2" w14:textId="1FD347A6" w:rsidR="00212386" w:rsidRPr="003E0136" w:rsidRDefault="00212386" w:rsidP="00212386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2A5D1" w14:textId="077076E9" w:rsidR="00212386" w:rsidRPr="003E0136" w:rsidDel="00E47E15" w:rsidRDefault="00212386" w:rsidP="00212386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007A3" w14:textId="65C7EBDC" w:rsidR="00212386" w:rsidRPr="003E0136" w:rsidDel="00E47E15" w:rsidRDefault="00212386" w:rsidP="00212386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Portfolio (%)</w:t>
            </w:r>
          </w:p>
        </w:tc>
      </w:tr>
      <w:tr w:rsidR="00212386" w:rsidRPr="003E0136" w14:paraId="71620A91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B7251" w14:textId="4000CEC0" w:rsidR="00212386" w:rsidRPr="003E0136" w:rsidRDefault="00212386" w:rsidP="00212386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[FI to tailor region/country list]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D7293" w14:textId="77777777" w:rsidR="00212386" w:rsidRPr="003E0136" w:rsidDel="00E47E15" w:rsidRDefault="00212386" w:rsidP="00212386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179FF" w14:textId="77777777" w:rsidR="00212386" w:rsidRPr="003E0136" w:rsidDel="00E47E15" w:rsidRDefault="00212386" w:rsidP="00212386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212386" w:rsidRPr="003E0136" w14:paraId="353A5B67" w14:textId="77777777" w:rsidTr="0076690E">
        <w:trPr>
          <w:cantSplit/>
          <w:trHeight w:val="323"/>
        </w:trPr>
        <w:tc>
          <w:tcPr>
            <w:tcW w:w="197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4E653" w14:textId="6CE79232" w:rsidR="00212386" w:rsidRPr="003E0136" w:rsidRDefault="00212386" w:rsidP="00212386">
            <w:pPr>
              <w:keepNext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C4BC" w14:textId="77777777" w:rsidR="00212386" w:rsidRPr="003E0136" w:rsidDel="00E47E15" w:rsidRDefault="00212386" w:rsidP="00212386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C3E2F" w14:textId="77777777" w:rsidR="00212386" w:rsidRPr="003E0136" w:rsidDel="00E47E15" w:rsidRDefault="00212386" w:rsidP="00212386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</w:tbl>
    <w:p w14:paraId="2847E437" w14:textId="77777777" w:rsidR="00117D4C" w:rsidRPr="003E0136" w:rsidRDefault="00117D4C">
      <w:pPr>
        <w:rPr>
          <w:rFonts w:ascii="Georgia" w:hAnsi="Georg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7"/>
        <w:gridCol w:w="75"/>
        <w:gridCol w:w="2441"/>
        <w:gridCol w:w="98"/>
        <w:gridCol w:w="1462"/>
        <w:gridCol w:w="921"/>
        <w:gridCol w:w="351"/>
        <w:gridCol w:w="3043"/>
      </w:tblGrid>
      <w:tr w:rsidR="00A118E4" w:rsidRPr="003E0136" w14:paraId="10676EE6" w14:textId="77777777" w:rsidTr="00966B5C">
        <w:trPr>
          <w:cantSplit/>
          <w:trHeight w:val="32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03B9F7E3" w14:textId="26192BFA" w:rsidR="00A118E4" w:rsidRPr="003E0136" w:rsidRDefault="00F24082" w:rsidP="00966B5C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OVERVIEW OF FI’S </w:t>
            </w:r>
            <w:r w:rsidR="00A118E4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PIPELINE PORTFOLIO </w:t>
            </w:r>
          </w:p>
        </w:tc>
      </w:tr>
      <w:tr w:rsidR="00A118E4" w:rsidRPr="003E0136" w14:paraId="55B32AD5" w14:textId="77777777" w:rsidTr="00966B5C">
        <w:trPr>
          <w:cantSplit/>
          <w:trHeight w:val="32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E6588C" w14:textId="35A48D9E" w:rsidR="00A118E4" w:rsidRPr="003E0136" w:rsidRDefault="00E446B4">
            <w:pPr>
              <w:pStyle w:val="ListParagraph"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Breakdown of </w:t>
            </w:r>
            <w:r w:rsidR="00A118E4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E&amp;S Risk Categorisation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for</w:t>
            </w:r>
            <w:r w:rsidR="00A118E4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Prospective Transactions  </w:t>
            </w:r>
          </w:p>
          <w:p w14:paraId="51AC2FD0" w14:textId="55194538" w:rsidR="00093FD0" w:rsidRPr="003E0136" w:rsidRDefault="00DC4E52" w:rsidP="0046402B">
            <w:pPr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</w:t>
            </w:r>
            <w:r w:rsidR="00A118E4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rovide a breakdown of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the</w:t>
            </w:r>
            <w:r w:rsidR="00A118E4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E&amp;S risk categorisations (</w:t>
            </w:r>
            <w:r w:rsidR="002031A0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i.e.,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high, medium, or low risk and / or Category A, B or C) assigned to prospective </w:t>
            </w:r>
            <w:r w:rsidR="00A118E4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transactions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during the </w:t>
            </w:r>
            <w:r w:rsidR="00A118E4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credit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application, </w:t>
            </w:r>
            <w:r w:rsidR="00A118E4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approval and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pre-</w:t>
            </w:r>
            <w:r w:rsidR="00A118E4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disbursement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="004C5F43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stag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es</w:t>
            </w:r>
          </w:p>
        </w:tc>
      </w:tr>
      <w:tr w:rsidR="00B14317" w:rsidRPr="003E0136" w14:paraId="493AAD14" w14:textId="77777777" w:rsidTr="00725C4B">
        <w:trPr>
          <w:cantSplit/>
          <w:trHeight w:val="323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4B7A2" w14:textId="3E139125" w:rsidR="00A118E4" w:rsidRPr="003E0136" w:rsidRDefault="00725C4B" w:rsidP="00725C4B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5A702" w14:textId="0FB41B93" w:rsidR="00A118E4" w:rsidRPr="003E0136" w:rsidRDefault="00A118E4" w:rsidP="00725C4B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Number of </w:t>
            </w:r>
            <w:r w:rsidR="00C8714B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Prospective Transactions</w:t>
            </w:r>
          </w:p>
        </w:tc>
        <w:tc>
          <w:tcPr>
            <w:tcW w:w="1015" w:type="pct"/>
            <w:gridSpan w:val="4"/>
            <w:shd w:val="clear" w:color="auto" w:fill="F2F2F2" w:themeFill="background1" w:themeFillShade="F2"/>
            <w:vAlign w:val="center"/>
          </w:tcPr>
          <w:p w14:paraId="691594CB" w14:textId="3543D09C" w:rsidR="00A118E4" w:rsidRPr="003E0136" w:rsidRDefault="00842E2D" w:rsidP="00725C4B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14:paraId="2414B399" w14:textId="659B8735" w:rsidR="00A118E4" w:rsidRPr="003E0136" w:rsidRDefault="00A118E4" w:rsidP="00725C4B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Proportion of </w:t>
            </w:r>
            <w:r w:rsidR="00C8714B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Prospective Transactions 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(%)</w:t>
            </w:r>
          </w:p>
        </w:tc>
      </w:tr>
      <w:tr w:rsidR="00B14317" w:rsidRPr="003E0136" w14:paraId="29EA3B13" w14:textId="77777777" w:rsidTr="00966B5C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33FE8" w14:textId="78554864" w:rsidR="00A118E4" w:rsidRPr="003E0136" w:rsidRDefault="00A118E4" w:rsidP="00A118E4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High Risk E&amp;S Transactions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77F7A229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shd w:val="clear" w:color="auto" w:fill="auto"/>
            <w:vAlign w:val="center"/>
          </w:tcPr>
          <w:p w14:paraId="0C74E127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214FAE6" w14:textId="52045D1C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B14317" w:rsidRPr="003E0136" w14:paraId="1EE9FE6A" w14:textId="77777777" w:rsidTr="00966B5C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F049" w14:textId="3EB0D0F9" w:rsidR="00A118E4" w:rsidRPr="003E0136" w:rsidRDefault="00A118E4" w:rsidP="00A118E4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Medium Risk E&amp;S Transactions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7AA7F14A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shd w:val="clear" w:color="auto" w:fill="auto"/>
            <w:vAlign w:val="center"/>
          </w:tcPr>
          <w:p w14:paraId="468052A2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9CBF" w14:textId="5DACBA9F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B14317" w:rsidRPr="003E0136" w14:paraId="59EACDDC" w14:textId="77777777" w:rsidTr="00966B5C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F0551" w14:textId="7589EB7C" w:rsidR="00A118E4" w:rsidRPr="003E0136" w:rsidRDefault="00A118E4" w:rsidP="00A118E4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Low Risk E&amp;S Transactions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6ACBCFE9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860F6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41588" w14:textId="5FD11ED3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B14317" w:rsidRPr="003E0136" w14:paraId="57592706" w14:textId="77777777" w:rsidTr="00966B5C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4E618" w14:textId="44E0F243" w:rsidR="00A118E4" w:rsidRPr="003E0136" w:rsidRDefault="00A118E4" w:rsidP="00966B5C">
            <w:pPr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C2BA5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FFC18" w14:textId="77777777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31568" w14:textId="77626EC2" w:rsidR="00A118E4" w:rsidRPr="003E0136" w:rsidRDefault="00A118E4" w:rsidP="00A118E4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A118E4" w:rsidRPr="003E0136" w14:paraId="0743DBDA" w14:textId="77777777" w:rsidTr="00966B5C">
        <w:trPr>
          <w:cantSplit/>
          <w:trHeight w:val="4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B8646F" w14:textId="77777777" w:rsidR="00A118E4" w:rsidRPr="003E0136" w:rsidRDefault="00A118E4" w:rsidP="00994E13">
            <w:pPr>
              <w:pStyle w:val="ListParagraph"/>
              <w:keepNext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 xml:space="preserve">E&amp;S Due Diligence Breakdown </w:t>
            </w:r>
          </w:p>
          <w:p w14:paraId="1CBC84EB" w14:textId="461A0319" w:rsidR="00725C4B" w:rsidRPr="003E0136" w:rsidRDefault="00725C4B" w:rsidP="00994E13">
            <w:pPr>
              <w:keepNext/>
              <w:spacing w:before="60" w:after="60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Provide an indication of the level/types of E&amp;S Due Diligence performed </w:t>
            </w:r>
            <w:r w:rsidR="00602D9A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as well as the current progress status of the E&amp;S Due Diligence </w:t>
            </w:r>
          </w:p>
        </w:tc>
      </w:tr>
      <w:tr w:rsidR="0017772F" w:rsidRPr="003E0136" w14:paraId="196511E0" w14:textId="77777777" w:rsidTr="00725C4B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64990" w14:textId="489A853C" w:rsidR="0017772F" w:rsidRPr="003E0136" w:rsidRDefault="00725C4B" w:rsidP="00994E13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0D8DA" w14:textId="75CE3B35" w:rsidR="0017772F" w:rsidRPr="003E0136" w:rsidRDefault="0017772F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Number of Prospective Transactions </w:t>
            </w: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51B1D" w14:textId="4527D1F8" w:rsidR="0017772F" w:rsidRPr="003E0136" w:rsidRDefault="0017772F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BFE3B" w14:textId="05CBDFC5" w:rsidR="0017772F" w:rsidRPr="003E0136" w:rsidRDefault="0017772F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Prospective Transactions (%)</w:t>
            </w:r>
          </w:p>
        </w:tc>
      </w:tr>
      <w:tr w:rsidR="006B25C3" w:rsidRPr="003E0136" w14:paraId="37CDDE42" w14:textId="77777777" w:rsidTr="00966B5C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A6E3C" w14:textId="6BA7B1D3" w:rsidR="00A118E4" w:rsidRPr="003E0136" w:rsidRDefault="003B711C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Type of </w:t>
            </w:r>
            <w:r w:rsidR="00A118E4" w:rsidRPr="003E0136">
              <w:rPr>
                <w:rFonts w:ascii="Georgia" w:hAnsi="Georgia" w:cs="Arial"/>
                <w:sz w:val="20"/>
                <w:szCs w:val="20"/>
              </w:rPr>
              <w:t xml:space="preserve">E&amp;S Due Diligence – External </w:t>
            </w:r>
            <w:r w:rsidR="009B617D" w:rsidRPr="003E0136">
              <w:rPr>
                <w:rFonts w:ascii="Georgia" w:hAnsi="Georgia" w:cs="Arial"/>
                <w:sz w:val="20"/>
                <w:szCs w:val="20"/>
              </w:rPr>
              <w:t xml:space="preserve">Consultant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2D53CA1E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9DF8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1E7FF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6B25C3" w:rsidRPr="003E0136" w14:paraId="3C767354" w14:textId="77777777" w:rsidTr="002C0559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AB7D1" w14:textId="78896C44" w:rsidR="00A118E4" w:rsidRPr="003E0136" w:rsidRDefault="00563626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Type of </w:t>
            </w:r>
            <w:r w:rsidR="00A118E4" w:rsidRPr="003E0136">
              <w:rPr>
                <w:rFonts w:ascii="Georgia" w:hAnsi="Georgia" w:cs="Arial"/>
                <w:sz w:val="20"/>
                <w:szCs w:val="20"/>
              </w:rPr>
              <w:t xml:space="preserve">E&amp;S Due Diligence – </w:t>
            </w:r>
            <w:r w:rsidR="009B617D" w:rsidRPr="003E0136">
              <w:rPr>
                <w:rFonts w:ascii="Georgia" w:hAnsi="Georgia" w:cs="Arial"/>
                <w:sz w:val="20"/>
                <w:szCs w:val="20"/>
              </w:rPr>
              <w:t>Internal with External Consultant Input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394A972E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699C5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62782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6B25C3" w:rsidRPr="003E0136" w14:paraId="5B782214" w14:textId="77777777" w:rsidTr="00BA1BA7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C8981" w14:textId="5D277FD0" w:rsidR="00A118E4" w:rsidRPr="003E0136" w:rsidRDefault="00563626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Type of </w:t>
            </w:r>
            <w:r w:rsidR="00A118E4" w:rsidRPr="003E0136">
              <w:rPr>
                <w:rFonts w:ascii="Georgia" w:hAnsi="Georgia" w:cs="Arial"/>
                <w:sz w:val="20"/>
                <w:szCs w:val="20"/>
              </w:rPr>
              <w:t xml:space="preserve">E&amp;S Due Diligence – Internal </w:t>
            </w:r>
            <w:r w:rsidR="009B617D" w:rsidRPr="003E0136">
              <w:rPr>
                <w:rFonts w:ascii="Georgia" w:hAnsi="Georgia" w:cs="Arial"/>
                <w:sz w:val="20"/>
                <w:szCs w:val="20"/>
              </w:rPr>
              <w:t xml:space="preserve">FI Resources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3143D79B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2290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1AC33" w14:textId="77777777" w:rsidR="00A118E4" w:rsidRPr="003E0136" w:rsidRDefault="00A118E4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37B1D614" w14:textId="77777777" w:rsidTr="00BA1BA7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C730D" w14:textId="5BA3BAA2" w:rsidR="009B617D" w:rsidRPr="003E0136" w:rsidRDefault="009B617D" w:rsidP="00994E13">
            <w:pPr>
              <w:keepNext/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68506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A2613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37A27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29926147" w14:textId="77777777" w:rsidTr="002C0559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B541" w14:textId="5C00026A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Status of E&amp;S Due Diligence –</w:t>
            </w:r>
            <w:r w:rsidR="00147F46" w:rsidRPr="003E0136">
              <w:rPr>
                <w:rFonts w:ascii="Georgia" w:hAnsi="Georgia" w:cs="Arial"/>
                <w:sz w:val="20"/>
                <w:szCs w:val="20"/>
              </w:rPr>
              <w:t xml:space="preserve"> N</w:t>
            </w:r>
            <w:r w:rsidRPr="003E0136">
              <w:rPr>
                <w:rFonts w:ascii="Georgia" w:hAnsi="Georgia" w:cs="Arial"/>
                <w:sz w:val="20"/>
                <w:szCs w:val="20"/>
              </w:rPr>
              <w:t xml:space="preserve">ot started yet  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08116E69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565EC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D5EA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1DAB0EC2" w14:textId="77777777" w:rsidTr="00FF477D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A0B07" w14:textId="0B52EE3B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Status of E&amp;S Due Diligence – In progress 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602611D0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64596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849FB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2B8F12AE" w14:textId="77777777" w:rsidTr="00BA1BA7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01A8" w14:textId="0FAB7F1A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Status of E&amp;S Due Diligence – Complete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55AC5C60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0C09E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A3CE6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267016D1" w14:textId="77777777" w:rsidTr="00BA1BA7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37A07" w14:textId="1AE6F8A2" w:rsidR="009B617D" w:rsidRPr="003E0136" w:rsidRDefault="009B617D" w:rsidP="00994E13">
            <w:pPr>
              <w:keepNext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D5E99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2D765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DFFED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20BF6A7C" w14:textId="77777777" w:rsidTr="00966B5C">
        <w:trPr>
          <w:cantSplit/>
          <w:trHeight w:val="4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88E6C6" w14:textId="7CBE7BA3" w:rsidR="009B617D" w:rsidRPr="003E0136" w:rsidRDefault="009B617D" w:rsidP="009B617D">
            <w:pPr>
              <w:pStyle w:val="ListParagraph"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Compliance with Applicable E&amp;S Standards </w:t>
            </w:r>
          </w:p>
          <w:p w14:paraId="13BBA541" w14:textId="0BCF6492" w:rsidR="009B617D" w:rsidRPr="003E0136" w:rsidRDefault="009B617D" w:rsidP="009C3552">
            <w:pPr>
              <w:spacing w:before="60" w:after="6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Provide an indication of prospective transactions compliance with the FI’s reference framework (i.e., relevant international E&amp;S standards, guidelines and requirements such as the International Finance Corporation (IFC) Performance Standards (PS), The World Bank Environmental, health and Safety (EHS) Guidelines, etc)</w:t>
            </w:r>
          </w:p>
        </w:tc>
      </w:tr>
      <w:tr w:rsidR="009B617D" w:rsidRPr="003E0136" w14:paraId="256CF1A5" w14:textId="77777777" w:rsidTr="009C3552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A726A" w14:textId="6A9F2331" w:rsidR="009B617D" w:rsidRPr="003E0136" w:rsidRDefault="009C3552" w:rsidP="009B617D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44F1C" w14:textId="501DE0C6" w:rsidR="009B617D" w:rsidRPr="003E0136" w:rsidRDefault="009B617D" w:rsidP="009C3552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 of Prospective Transactions</w:t>
            </w: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AFA6" w14:textId="6A444C10" w:rsidR="009B617D" w:rsidRPr="003E0136" w:rsidRDefault="009B617D" w:rsidP="009C3552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E6247" w14:textId="1DC25600" w:rsidR="009B617D" w:rsidRPr="003E0136" w:rsidRDefault="009B617D" w:rsidP="009C3552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Prospective Transactions (%)</w:t>
            </w:r>
          </w:p>
        </w:tc>
      </w:tr>
      <w:tr w:rsidR="009B617D" w:rsidRPr="003E0136" w14:paraId="621FED86" w14:textId="77777777" w:rsidTr="00966B5C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B4C6A" w14:textId="38D49548" w:rsidR="009B617D" w:rsidRPr="003E0136" w:rsidRDefault="009B617D" w:rsidP="009B617D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Transactions</w:t>
            </w:r>
            <w:r w:rsidR="000A1978" w:rsidRPr="003E0136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="00A035EF" w:rsidRPr="003E0136">
              <w:rPr>
                <w:rFonts w:ascii="Georgia" w:hAnsi="Georgia" w:cs="Arial"/>
                <w:sz w:val="20"/>
                <w:szCs w:val="20"/>
              </w:rPr>
              <w:t>complying</w:t>
            </w:r>
            <w:r w:rsidRPr="003E0136">
              <w:rPr>
                <w:rFonts w:ascii="Georgia" w:hAnsi="Georgia" w:cs="Arial"/>
                <w:sz w:val="20"/>
                <w:szCs w:val="20"/>
              </w:rPr>
              <w:t xml:space="preserve"> with IFC Performance Standards 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13BF68C2" w14:textId="77777777" w:rsidR="009B617D" w:rsidRPr="003E0136" w:rsidRDefault="009B617D" w:rsidP="009B617D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2A3D5" w14:textId="77777777" w:rsidR="009B617D" w:rsidRPr="003E0136" w:rsidRDefault="009B617D" w:rsidP="009B617D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3F58D" w14:textId="77777777" w:rsidR="009B617D" w:rsidRPr="003E0136" w:rsidRDefault="009B617D" w:rsidP="009B617D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5499B46A" w14:textId="77777777" w:rsidTr="00966B5C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BC5DC" w14:textId="44CE2132" w:rsidR="009B617D" w:rsidRPr="003E0136" w:rsidRDefault="009B617D" w:rsidP="009B617D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[FI to tailor and include applicable standards and guidelines]</w:t>
            </w: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14:paraId="2FA2580C" w14:textId="77777777" w:rsidR="009B617D" w:rsidRPr="003E0136" w:rsidRDefault="009B617D" w:rsidP="009B617D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1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89702" w14:textId="77777777" w:rsidR="009B617D" w:rsidRPr="003E0136" w:rsidRDefault="009B617D" w:rsidP="009B617D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5E89E" w14:textId="77777777" w:rsidR="009B617D" w:rsidRPr="003E0136" w:rsidRDefault="009B617D" w:rsidP="009B617D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B617D" w:rsidRPr="003E0136" w14:paraId="2BB3F0BE" w14:textId="77777777" w:rsidTr="00966B5C">
        <w:trPr>
          <w:cantSplit/>
          <w:trHeight w:val="4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BC7810" w14:textId="3FFF2A56" w:rsidR="009B617D" w:rsidRPr="003E0136" w:rsidRDefault="009B617D" w:rsidP="00994E13">
            <w:pPr>
              <w:pStyle w:val="ListParagraph"/>
              <w:keepNext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 xml:space="preserve"> E&amp;S Requirements incorporated into Legal Agreements </w:t>
            </w:r>
          </w:p>
          <w:p w14:paraId="46F7CE58" w14:textId="5761DFCC" w:rsidR="009B617D" w:rsidRPr="003E0136" w:rsidRDefault="009B617D" w:rsidP="00994E13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Provide an overview of E&amp;S requirements incorporated into prospective transaction legal agreements (i.e., E&amp;S Action Plan (ESAP), conditions precedent, etc</w:t>
            </w:r>
            <w:r w:rsidR="00A035E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.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9B617D" w:rsidRPr="003E0136" w14:paraId="78D09C4A" w14:textId="77777777" w:rsidTr="009C3552">
        <w:trPr>
          <w:cantSplit/>
          <w:trHeight w:val="412"/>
        </w:trPr>
        <w:tc>
          <w:tcPr>
            <w:tcW w:w="201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8B65D" w14:textId="3EB4D705" w:rsidR="009B617D" w:rsidRPr="003E0136" w:rsidRDefault="009C3552" w:rsidP="00994E13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91303" w14:textId="3CEA25E1" w:rsidR="009B617D" w:rsidRPr="003E0136" w:rsidRDefault="009B617D" w:rsidP="00994E13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 of Prospective Transactions</w:t>
            </w:r>
          </w:p>
        </w:tc>
        <w:tc>
          <w:tcPr>
            <w:tcW w:w="854" w:type="pct"/>
            <w:gridSpan w:val="2"/>
            <w:shd w:val="clear" w:color="auto" w:fill="F2F2F2" w:themeFill="background1" w:themeFillShade="F2"/>
            <w:vAlign w:val="center"/>
          </w:tcPr>
          <w:p w14:paraId="3D53DAA1" w14:textId="0A1FE853" w:rsidR="009B617D" w:rsidRPr="003E0136" w:rsidRDefault="009B617D" w:rsidP="00994E13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217" w:type="pct"/>
            <w:gridSpan w:val="2"/>
            <w:shd w:val="clear" w:color="auto" w:fill="F2F2F2" w:themeFill="background1" w:themeFillShade="F2"/>
            <w:vAlign w:val="center"/>
          </w:tcPr>
          <w:p w14:paraId="059679F0" w14:textId="616680AB" w:rsidR="009B617D" w:rsidRPr="003E0136" w:rsidRDefault="009B617D" w:rsidP="00994E13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Prospective Transactions (%)</w:t>
            </w:r>
          </w:p>
        </w:tc>
      </w:tr>
      <w:tr w:rsidR="009B617D" w:rsidRPr="003E0136" w14:paraId="5AB3B409" w14:textId="77777777" w:rsidTr="00966B5C">
        <w:trPr>
          <w:cantSplit/>
          <w:trHeight w:val="412"/>
        </w:trPr>
        <w:tc>
          <w:tcPr>
            <w:tcW w:w="20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898ED" w14:textId="24A201F8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High risk E&amp;S transactions with agreed E&amp;S action plan</w:t>
            </w: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85AD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14:paraId="7A2C537A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125825ED" w14:textId="6BCEDE20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B617D" w:rsidRPr="003E0136" w14:paraId="1297CF62" w14:textId="77777777" w:rsidTr="00966B5C">
        <w:trPr>
          <w:cantSplit/>
          <w:trHeight w:val="412"/>
        </w:trPr>
        <w:tc>
          <w:tcPr>
            <w:tcW w:w="20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0813B" w14:textId="2869F4BD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High risk E&amp;S transactions with conditions precedent </w:t>
            </w: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6836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14:paraId="03E814BD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57FCA6CC" w14:textId="19C3B449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B617D" w:rsidRPr="003E0136" w14:paraId="5170514F" w14:textId="77777777" w:rsidTr="00966B5C">
        <w:trPr>
          <w:cantSplit/>
          <w:trHeight w:val="412"/>
        </w:trPr>
        <w:tc>
          <w:tcPr>
            <w:tcW w:w="20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CC535" w14:textId="320E3720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Medium E&amp;S transactions with agreed E&amp;S action plan</w:t>
            </w: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750C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14:paraId="77E9E701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14:paraId="3A650B53" w14:textId="2105D5DB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B617D" w:rsidRPr="003E0136" w14:paraId="4A024187" w14:textId="77777777" w:rsidTr="00966B5C">
        <w:trPr>
          <w:cantSplit/>
          <w:trHeight w:val="412"/>
        </w:trPr>
        <w:tc>
          <w:tcPr>
            <w:tcW w:w="20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3DFDE" w14:textId="64D5EFB4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Medium E&amp;S transactions with conditions precedent</w:t>
            </w: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3711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5E8B" w14:textId="7777777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D64D6" w14:textId="13BFBFD7" w:rsidR="009B617D" w:rsidRPr="003E0136" w:rsidRDefault="009B617D" w:rsidP="00994E13">
            <w:pPr>
              <w:pStyle w:val="ListParagraph"/>
              <w:keepNext/>
              <w:ind w:left="360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B617D" w:rsidRPr="003E0136" w14:paraId="05E0249D" w14:textId="77777777" w:rsidTr="00966B5C">
        <w:trPr>
          <w:cantSplit/>
          <w:trHeight w:val="4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38B6F17" w14:textId="686EB3E6" w:rsidR="009B617D" w:rsidRPr="003E0136" w:rsidRDefault="009B617D" w:rsidP="00994E13">
            <w:pPr>
              <w:pStyle w:val="ListParagraph"/>
              <w:keepNext/>
              <w:numPr>
                <w:ilvl w:val="1"/>
                <w:numId w:val="18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Overview of Rejected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Prospective Transactions </w:t>
            </w:r>
          </w:p>
          <w:p w14:paraId="69D0AF40" w14:textId="5D18F2AB" w:rsidR="009B617D" w:rsidRPr="003E0136" w:rsidRDefault="009B617D" w:rsidP="00994E13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Highlight prospective transactions that were rejected by the FI due to E&amp;S factors </w:t>
            </w:r>
          </w:p>
        </w:tc>
      </w:tr>
      <w:tr w:rsidR="009B617D" w:rsidRPr="003E0136" w14:paraId="1B326B8B" w14:textId="77777777" w:rsidTr="00FC448A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4C3DE" w14:textId="0E5093BA" w:rsidR="009B617D" w:rsidRPr="003E0136" w:rsidRDefault="00FC448A" w:rsidP="00994E13">
            <w:pPr>
              <w:keepNext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461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ADC9C" w14:textId="443FFDDE" w:rsidR="009B617D" w:rsidRPr="003E0136" w:rsidRDefault="009B617D" w:rsidP="00994E13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 of Prospective Transactions</w:t>
            </w:r>
          </w:p>
        </w:tc>
        <w:tc>
          <w:tcPr>
            <w:tcW w:w="154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E4177" w14:textId="45B655F5" w:rsidR="009B617D" w:rsidRPr="003E0136" w:rsidRDefault="009B617D" w:rsidP="00994E13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</w:tr>
      <w:tr w:rsidR="009B617D" w:rsidRPr="003E0136" w14:paraId="0A40073F" w14:textId="77777777" w:rsidTr="00602D9A">
        <w:trPr>
          <w:cantSplit/>
          <w:trHeight w:val="412"/>
        </w:trPr>
        <w:tc>
          <w:tcPr>
            <w:tcW w:w="1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90986" w14:textId="473511AA" w:rsidR="009B617D" w:rsidRPr="003E0136" w:rsidRDefault="009B617D" w:rsidP="00994E13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Rejected transactions </w:t>
            </w:r>
          </w:p>
        </w:tc>
        <w:tc>
          <w:tcPr>
            <w:tcW w:w="1461" w:type="pct"/>
            <w:gridSpan w:val="4"/>
            <w:tcBorders>
              <w:bottom w:val="single" w:sz="4" w:space="0" w:color="auto"/>
            </w:tcBorders>
            <w:vAlign w:val="center"/>
          </w:tcPr>
          <w:p w14:paraId="4BEF3A30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5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30191" w14:textId="77777777" w:rsidR="009B617D" w:rsidRPr="003E0136" w:rsidRDefault="009B617D" w:rsidP="00994E13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</w:tbl>
    <w:p w14:paraId="2AC43D8F" w14:textId="77777777" w:rsidR="008F4C5D" w:rsidRPr="003E0136" w:rsidRDefault="008F4C5D">
      <w:pPr>
        <w:rPr>
          <w:rFonts w:ascii="Georgia" w:hAnsi="Georgia"/>
        </w:rPr>
        <w:sectPr w:rsidR="008F4C5D" w:rsidRPr="003E0136" w:rsidSect="00D055C8">
          <w:headerReference w:type="default" r:id="rId12"/>
          <w:footerReference w:type="default" r:id="rId13"/>
          <w:pgSz w:w="16838" w:h="11906" w:orient="landscape" w:code="9"/>
          <w:pgMar w:top="1440" w:right="1440" w:bottom="1440" w:left="1440" w:header="284" w:footer="0" w:gutter="0"/>
          <w:paperSrc w:first="15" w:other="15"/>
          <w:cols w:space="708"/>
          <w:docGrid w:linePitch="326"/>
        </w:sect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3473"/>
        <w:gridCol w:w="1759"/>
        <w:gridCol w:w="881"/>
        <w:gridCol w:w="1905"/>
        <w:gridCol w:w="48"/>
        <w:gridCol w:w="146"/>
        <w:gridCol w:w="542"/>
        <w:gridCol w:w="1891"/>
        <w:gridCol w:w="749"/>
        <w:gridCol w:w="2635"/>
      </w:tblGrid>
      <w:tr w:rsidR="007F0ABB" w:rsidRPr="003E0136" w14:paraId="3084066B" w14:textId="77777777" w:rsidTr="00966B5C">
        <w:trPr>
          <w:cantSplit/>
          <w:trHeight w:val="32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779BD695" w14:textId="2DD47F9E" w:rsidR="007F0ABB" w:rsidRPr="003E0136" w:rsidRDefault="007754CF" w:rsidP="00966B5C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>OVERVIEW OF FI’</w:t>
            </w:r>
            <w:r w:rsidR="00144924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S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r w:rsidR="00144924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EXISTING</w:t>
            </w:r>
            <w:r w:rsidR="007F0ABB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PORTFOLIO</w:t>
            </w:r>
          </w:p>
        </w:tc>
      </w:tr>
      <w:tr w:rsidR="007F0ABB" w:rsidRPr="003E0136" w14:paraId="2EC1B56C" w14:textId="77777777" w:rsidTr="00966B5C">
        <w:trPr>
          <w:cantSplit/>
          <w:trHeight w:val="32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3F70D1D" w14:textId="6EF59A34" w:rsidR="007F0ABB" w:rsidRPr="003E0136" w:rsidRDefault="0030198D" w:rsidP="00966B5C">
            <w:pPr>
              <w:pStyle w:val="ListParagraph"/>
              <w:numPr>
                <w:ilvl w:val="1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Breakdown of </w:t>
            </w:r>
            <w:r w:rsidR="007F0ABB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E&amp;S Risk Categorisation </w:t>
            </w:r>
            <w:r w:rsidR="001E6504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Profile</w:t>
            </w:r>
          </w:p>
          <w:p w14:paraId="02BD2F06" w14:textId="20F6148B" w:rsidR="007F0ABB" w:rsidRPr="003E0136" w:rsidRDefault="00D623EA" w:rsidP="00B53435">
            <w:pPr>
              <w:spacing w:before="60" w:after="6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Provide a breakdown of the E&amp;S risk categorisations (i.e., high, medium, or low risk and / or Category A, B or C / FI -1, FI – 2 or FI -3) assigned to </w:t>
            </w:r>
            <w:r w:rsidR="007F0ABB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transactions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during the post disbursement stage</w:t>
            </w:r>
          </w:p>
        </w:tc>
      </w:tr>
      <w:tr w:rsidR="00AF794D" w:rsidRPr="003E0136" w14:paraId="6EE4EED6" w14:textId="77777777" w:rsidTr="007E2011">
        <w:trPr>
          <w:cantSplit/>
          <w:trHeight w:val="323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9CB93" w14:textId="59AC64CD" w:rsidR="007F0ABB" w:rsidRPr="003E0136" w:rsidRDefault="00B53435" w:rsidP="00B53435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3A0FF" w14:textId="45A3F140" w:rsidR="007F0ABB" w:rsidRPr="003E0136" w:rsidRDefault="007F0ABB" w:rsidP="00B53435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Number of </w:t>
            </w:r>
            <w:r w:rsidR="00A94F40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ransactions</w:t>
            </w:r>
          </w:p>
        </w:tc>
        <w:tc>
          <w:tcPr>
            <w:tcW w:w="936" w:type="pct"/>
            <w:gridSpan w:val="4"/>
            <w:shd w:val="clear" w:color="auto" w:fill="F2F2F2" w:themeFill="background1" w:themeFillShade="F2"/>
            <w:vAlign w:val="center"/>
          </w:tcPr>
          <w:p w14:paraId="42A3FAE7" w14:textId="493ABE1A" w:rsidR="007F0ABB" w:rsidRPr="003E0136" w:rsidRDefault="007F0ABB" w:rsidP="00B53435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206" w:type="pct"/>
            <w:gridSpan w:val="2"/>
            <w:shd w:val="clear" w:color="auto" w:fill="F2F2F2" w:themeFill="background1" w:themeFillShade="F2"/>
            <w:vAlign w:val="center"/>
          </w:tcPr>
          <w:p w14:paraId="27DD4676" w14:textId="22F1B07C" w:rsidR="007F0ABB" w:rsidRPr="003E0136" w:rsidRDefault="00C571F0" w:rsidP="00B53435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Portfolio (%)</w:t>
            </w:r>
          </w:p>
        </w:tc>
      </w:tr>
      <w:tr w:rsidR="00AF794D" w:rsidRPr="003E0136" w14:paraId="21E2259A" w14:textId="77777777" w:rsidTr="007E2011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7D01" w14:textId="77777777" w:rsidR="007F0ABB" w:rsidRPr="003E0136" w:rsidRDefault="007F0ABB" w:rsidP="00C426A5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High Risk E&amp;S Transactions 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vAlign w:val="center"/>
          </w:tcPr>
          <w:p w14:paraId="50E7738B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5A486FB7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27F29F9E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AF794D" w:rsidRPr="003E0136" w14:paraId="11828E1A" w14:textId="77777777" w:rsidTr="007E2011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93712" w14:textId="77777777" w:rsidR="007F0ABB" w:rsidRPr="003E0136" w:rsidRDefault="007F0ABB" w:rsidP="00C426A5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Medium Risk E&amp;S Transactions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vAlign w:val="center"/>
          </w:tcPr>
          <w:p w14:paraId="71529B3B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091A23A4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61222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3A31E0" w:rsidRPr="003E0136" w14:paraId="582640E0" w14:textId="77777777" w:rsidTr="00BA1BA7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3690" w14:textId="77777777" w:rsidR="007F0ABB" w:rsidRPr="003E0136" w:rsidRDefault="007F0ABB" w:rsidP="00C426A5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Low Risk E&amp;S Transactions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vAlign w:val="center"/>
          </w:tcPr>
          <w:p w14:paraId="7C441836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1D104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C7AF7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3A31E0" w:rsidRPr="003E0136" w14:paraId="3F2796B5" w14:textId="77777777" w:rsidTr="00BA1BA7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C7D6" w14:textId="77777777" w:rsidR="007F0ABB" w:rsidRPr="003E0136" w:rsidRDefault="007F0ABB" w:rsidP="00C426A5">
            <w:pPr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63D41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8984A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73921" w14:textId="77777777" w:rsidR="007F0ABB" w:rsidRPr="003E0136" w:rsidRDefault="007F0ABB" w:rsidP="00C426A5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AF794D" w:rsidRPr="003E0136" w14:paraId="4F20F2D7" w14:textId="77777777" w:rsidTr="007E2011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9BAC" w14:textId="3AFC2567" w:rsidR="00985F69" w:rsidRPr="003E0136" w:rsidRDefault="00985F69" w:rsidP="00966B5C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Transactions with business activities/project contained on the FI’s exclusion list but are not substantially involved</w:t>
            </w:r>
            <w:r w:rsidRPr="003E0136">
              <w:rPr>
                <w:rStyle w:val="FootnoteReference"/>
                <w:rFonts w:ascii="Georgia" w:hAnsi="Georgia" w:cs="Arial"/>
                <w:sz w:val="20"/>
                <w:szCs w:val="20"/>
              </w:rPr>
              <w:footnoteReference w:id="1"/>
            </w:r>
            <w:r w:rsidRPr="003E0136">
              <w:rPr>
                <w:rFonts w:ascii="Georgia" w:hAnsi="Georgia" w:cs="Arial"/>
                <w:sz w:val="20"/>
                <w:szCs w:val="20"/>
              </w:rPr>
              <w:t xml:space="preserve"> in these activities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500A3" w14:textId="199CDE2A" w:rsidR="00985F69" w:rsidRPr="003E0136" w:rsidRDefault="00985F69" w:rsidP="00985F69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3486171A" w14:textId="5C529F64" w:rsidR="00985F69" w:rsidRPr="003E0136" w:rsidRDefault="00985F69" w:rsidP="00985F69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10887" w14:textId="77777777" w:rsidR="00985F69" w:rsidRPr="003E0136" w:rsidRDefault="00985F69" w:rsidP="00985F69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7E2011" w:rsidRPr="003E0136" w14:paraId="7A49E587" w14:textId="77777777" w:rsidTr="00BA1BA7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3D346" w14:textId="38F68687" w:rsidR="007E2011" w:rsidRPr="003E0136" w:rsidRDefault="007E2011" w:rsidP="00BA1BA7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CF653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shd w:val="clear" w:color="auto" w:fill="F2F2F2" w:themeFill="background1" w:themeFillShade="F2"/>
            <w:vAlign w:val="center"/>
          </w:tcPr>
          <w:p w14:paraId="70C2BC72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449A3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7E2011" w:rsidRPr="003E0136" w14:paraId="7D6041FD" w14:textId="77777777" w:rsidTr="00966B5C">
        <w:trPr>
          <w:cantSplit/>
          <w:trHeight w:val="41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03997C" w14:textId="73BC42C7" w:rsidR="007E2011" w:rsidRPr="003E0136" w:rsidRDefault="007E2011" w:rsidP="007E2011">
            <w:pPr>
              <w:pStyle w:val="ListParagraph"/>
              <w:numPr>
                <w:ilvl w:val="1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Compliance with Applicable E&amp;S Standards </w:t>
            </w:r>
          </w:p>
          <w:p w14:paraId="171E383D" w14:textId="65B0AEDA" w:rsidR="007E2011" w:rsidRPr="003E0136" w:rsidRDefault="007E2011" w:rsidP="007E2011">
            <w:pPr>
              <w:spacing w:before="60" w:after="60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Provide an indication of the </w:t>
            </w:r>
            <w:r w:rsidR="00BA1BA7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FI’s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portfolio compliance with the FI’s reference framework (i.e., relevant international E&amp;S standards, guidelines, and requirements such as the International Finance Corporation (IFC) Performance Standards (PS), The World Bank Environmental, health and Safety (EHS) Guidelines, etc)</w:t>
            </w:r>
          </w:p>
        </w:tc>
      </w:tr>
      <w:tr w:rsidR="007E2011" w:rsidRPr="003E0136" w14:paraId="68B35E41" w14:textId="77777777" w:rsidTr="007E2011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DD92D" w14:textId="024FDCC9" w:rsidR="007E2011" w:rsidRPr="003E0136" w:rsidRDefault="007E2011" w:rsidP="007E2011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14FE4" w14:textId="4CD5B282" w:rsidR="007E2011" w:rsidRPr="003E0136" w:rsidRDefault="007E2011" w:rsidP="007E2011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 of Transactions</w:t>
            </w:r>
          </w:p>
        </w:tc>
        <w:tc>
          <w:tcPr>
            <w:tcW w:w="936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2AEAD" w14:textId="67CD2FCD" w:rsidR="007E2011" w:rsidRPr="003E0136" w:rsidRDefault="007E2011" w:rsidP="007E2011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3FC50" w14:textId="2D0C3B72" w:rsidR="007E2011" w:rsidRPr="003E0136" w:rsidRDefault="007E2011" w:rsidP="007E2011">
            <w:pPr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Portfolio (%)</w:t>
            </w:r>
          </w:p>
        </w:tc>
      </w:tr>
      <w:tr w:rsidR="007E2011" w:rsidRPr="003E0136" w14:paraId="3A739E63" w14:textId="77777777" w:rsidTr="007E2011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215C2" w14:textId="6FC419B6" w:rsidR="007E2011" w:rsidRPr="003E0136" w:rsidRDefault="007E2011" w:rsidP="007E2011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Transactions complying with IFC Performance Standards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vAlign w:val="center"/>
          </w:tcPr>
          <w:p w14:paraId="0C096CE0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8618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F33D0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7E2011" w:rsidRPr="003E0136" w14:paraId="45C709AB" w14:textId="77777777" w:rsidTr="007E2011">
        <w:trPr>
          <w:cantSplit/>
          <w:trHeight w:val="412"/>
        </w:trPr>
        <w:tc>
          <w:tcPr>
            <w:tcW w:w="1865" w:type="pct"/>
            <w:gridSpan w:val="2"/>
            <w:shd w:val="clear" w:color="auto" w:fill="auto"/>
            <w:vAlign w:val="center"/>
          </w:tcPr>
          <w:p w14:paraId="061C1E73" w14:textId="6804108D" w:rsidR="007E2011" w:rsidRPr="003E0136" w:rsidRDefault="007E2011" w:rsidP="007E2011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[FI to tailor and include applicable standards and guidelines]</w:t>
            </w:r>
          </w:p>
        </w:tc>
        <w:tc>
          <w:tcPr>
            <w:tcW w:w="993" w:type="pct"/>
            <w:gridSpan w:val="2"/>
            <w:vAlign w:val="center"/>
          </w:tcPr>
          <w:p w14:paraId="7FC8CDD5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558D5D16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2B3906CF" w14:textId="77777777" w:rsidR="007E2011" w:rsidRPr="003E0136" w:rsidRDefault="007E2011" w:rsidP="007E2011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7E2011" w:rsidRPr="003E0136" w14:paraId="23ED2EF2" w14:textId="77777777" w:rsidTr="00966B5C">
        <w:trPr>
          <w:cantSplit/>
          <w:trHeight w:val="412"/>
        </w:trPr>
        <w:tc>
          <w:tcPr>
            <w:tcW w:w="5000" w:type="pct"/>
            <w:gridSpan w:val="10"/>
            <w:shd w:val="clear" w:color="auto" w:fill="C6D9F1"/>
            <w:vAlign w:val="center"/>
          </w:tcPr>
          <w:p w14:paraId="43E9D216" w14:textId="3546DF2B" w:rsidR="007E2011" w:rsidRPr="003E0136" w:rsidRDefault="007E2011" w:rsidP="007E2011">
            <w:pPr>
              <w:pStyle w:val="ListParagraph"/>
              <w:keepNext/>
              <w:numPr>
                <w:ilvl w:val="1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 xml:space="preserve">Status of E&amp;S Action Plans </w:t>
            </w:r>
          </w:p>
          <w:p w14:paraId="50A6A3F8" w14:textId="7B4EDC67" w:rsidR="007E2011" w:rsidRPr="003E0136" w:rsidRDefault="007E2011" w:rsidP="007E2011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Highlight the status of progress made against set E&amp;S action plans and any E&amp;S non-compliances identified over the reporting period (i.e., fines/penalties, etc</w:t>
            </w:r>
            <w:r w:rsidR="002932C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.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)</w:t>
            </w:r>
          </w:p>
        </w:tc>
      </w:tr>
      <w:tr w:rsidR="007E2011" w:rsidRPr="003E0136" w14:paraId="052C8096" w14:textId="77777777" w:rsidTr="007E2011">
        <w:trPr>
          <w:cantSplit/>
          <w:trHeight w:val="412"/>
        </w:trPr>
        <w:tc>
          <w:tcPr>
            <w:tcW w:w="1865" w:type="pct"/>
            <w:gridSpan w:val="2"/>
            <w:shd w:val="clear" w:color="auto" w:fill="F2F2F2" w:themeFill="background1" w:themeFillShade="F2"/>
            <w:vAlign w:val="center"/>
          </w:tcPr>
          <w:p w14:paraId="54CB373C" w14:textId="67066BC2" w:rsidR="007E2011" w:rsidRPr="003E0136" w:rsidRDefault="007E2011" w:rsidP="007E2011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993" w:type="pct"/>
            <w:gridSpan w:val="2"/>
            <w:shd w:val="clear" w:color="auto" w:fill="F2F2F2" w:themeFill="background1" w:themeFillShade="F2"/>
            <w:vAlign w:val="center"/>
          </w:tcPr>
          <w:p w14:paraId="1312E0E0" w14:textId="7C60DBCC" w:rsidR="007E2011" w:rsidRPr="003E0136" w:rsidRDefault="007E2011" w:rsidP="007E2011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 of Transactions</w:t>
            </w:r>
          </w:p>
        </w:tc>
        <w:tc>
          <w:tcPr>
            <w:tcW w:w="936" w:type="pct"/>
            <w:gridSpan w:val="4"/>
            <w:shd w:val="clear" w:color="auto" w:fill="F2F2F2" w:themeFill="background1" w:themeFillShade="F2"/>
            <w:vAlign w:val="center"/>
          </w:tcPr>
          <w:p w14:paraId="5649BBC7" w14:textId="5F3E1905" w:rsidR="007E2011" w:rsidRPr="003E0136" w:rsidRDefault="007E2011" w:rsidP="007E2011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 Value (Currency)</w:t>
            </w:r>
          </w:p>
        </w:tc>
        <w:tc>
          <w:tcPr>
            <w:tcW w:w="1206" w:type="pct"/>
            <w:gridSpan w:val="2"/>
            <w:shd w:val="clear" w:color="auto" w:fill="F2F2F2" w:themeFill="background1" w:themeFillShade="F2"/>
            <w:vAlign w:val="center"/>
          </w:tcPr>
          <w:p w14:paraId="65B5A94B" w14:textId="22A53E21" w:rsidR="007E2011" w:rsidRPr="003E0136" w:rsidRDefault="007E2011" w:rsidP="007E2011">
            <w:pPr>
              <w:keepNext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Portfolio (%)</w:t>
            </w:r>
          </w:p>
        </w:tc>
      </w:tr>
      <w:tr w:rsidR="007E2011" w:rsidRPr="003E0136" w14:paraId="0E7A48F1" w14:textId="77777777" w:rsidTr="007E2011">
        <w:trPr>
          <w:cantSplit/>
          <w:trHeight w:val="412"/>
        </w:trPr>
        <w:tc>
          <w:tcPr>
            <w:tcW w:w="1865" w:type="pct"/>
            <w:gridSpan w:val="2"/>
            <w:shd w:val="clear" w:color="auto" w:fill="auto"/>
            <w:vAlign w:val="center"/>
          </w:tcPr>
          <w:p w14:paraId="7E3C08C4" w14:textId="7EEE3141" w:rsidR="007E2011" w:rsidRPr="003E0136" w:rsidRDefault="007E2011" w:rsidP="007E2011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High risk E&amp;S transactions with agreed E&amp;S action plan</w:t>
            </w:r>
          </w:p>
        </w:tc>
        <w:tc>
          <w:tcPr>
            <w:tcW w:w="993" w:type="pct"/>
            <w:gridSpan w:val="2"/>
            <w:vAlign w:val="center"/>
          </w:tcPr>
          <w:p w14:paraId="602952A5" w14:textId="77777777" w:rsidR="007E2011" w:rsidRPr="003E0136" w:rsidRDefault="007E2011" w:rsidP="007E201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2C545F21" w14:textId="77777777" w:rsidR="007E2011" w:rsidRPr="003E0136" w:rsidRDefault="007E2011" w:rsidP="007E201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3BD25100" w14:textId="77777777" w:rsidR="007E2011" w:rsidRPr="003E0136" w:rsidRDefault="007E2011" w:rsidP="007E2011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1F7963F1" w14:textId="77777777" w:rsidTr="007E2011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18BD7" w14:textId="76823F4B" w:rsidR="00963278" w:rsidRPr="003E013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High risk E&amp;S transactions in non-compliance with the E&amp;S action plan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vAlign w:val="center"/>
          </w:tcPr>
          <w:p w14:paraId="747EAFE3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902D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DD9CE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2B96001F" w14:textId="77777777" w:rsidTr="007E2011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45A5A" w14:textId="2795C6D4" w:rsidR="00963278" w:rsidRPr="003E013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Medium risk E&amp;S transactions with agreed E&amp;S action plan</w:t>
            </w: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vAlign w:val="center"/>
          </w:tcPr>
          <w:p w14:paraId="1FEB0F21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03610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6CBD1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73C73DE7" w14:textId="77777777" w:rsidTr="007E2011">
        <w:trPr>
          <w:cantSplit/>
          <w:trHeight w:val="412"/>
        </w:trPr>
        <w:tc>
          <w:tcPr>
            <w:tcW w:w="1865" w:type="pct"/>
            <w:gridSpan w:val="2"/>
            <w:shd w:val="clear" w:color="auto" w:fill="auto"/>
            <w:vAlign w:val="center"/>
          </w:tcPr>
          <w:p w14:paraId="20CD5443" w14:textId="5243019A" w:rsidR="00963278" w:rsidRPr="003E013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Medium risk E&amp;S transactions in non-compliance with the E&amp;S action plan</w:t>
            </w:r>
          </w:p>
        </w:tc>
        <w:tc>
          <w:tcPr>
            <w:tcW w:w="993" w:type="pct"/>
            <w:gridSpan w:val="2"/>
            <w:vAlign w:val="center"/>
          </w:tcPr>
          <w:p w14:paraId="002642DE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936" w:type="pct"/>
            <w:gridSpan w:val="4"/>
            <w:shd w:val="clear" w:color="auto" w:fill="auto"/>
            <w:vAlign w:val="center"/>
          </w:tcPr>
          <w:p w14:paraId="56DFFEC9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6A3E5171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06D59362" w14:textId="77777777" w:rsidTr="00966B5C">
        <w:trPr>
          <w:cantSplit/>
          <w:trHeight w:val="412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8B418" w14:textId="50DBFDD2" w:rsidR="00963278" w:rsidRPr="003E013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Explanation of any non-compliances identified across the portfolio (</w:t>
            </w:r>
            <w:r w:rsidR="004F119F" w:rsidRPr="003E0136">
              <w:rPr>
                <w:rFonts w:ascii="Georgia" w:hAnsi="Georgia" w:cs="Arial"/>
                <w:sz w:val="20"/>
                <w:szCs w:val="20"/>
              </w:rPr>
              <w:t xml:space="preserve">include </w:t>
            </w:r>
            <w:r w:rsidRPr="003E0136">
              <w:rPr>
                <w:rFonts w:ascii="Georgia" w:hAnsi="Georgia" w:cs="Arial"/>
                <w:sz w:val="20"/>
                <w:szCs w:val="20"/>
              </w:rPr>
              <w:t>attachments</w:t>
            </w:r>
            <w:r w:rsidR="004F119F" w:rsidRPr="003E0136">
              <w:rPr>
                <w:rFonts w:ascii="Georgia" w:hAnsi="Georgia" w:cs="Arial"/>
                <w:sz w:val="20"/>
                <w:szCs w:val="20"/>
              </w:rPr>
              <w:t xml:space="preserve"> where possible</w:t>
            </w:r>
            <w:r w:rsidRPr="003E0136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3135" w:type="pct"/>
            <w:gridSpan w:val="8"/>
            <w:tcBorders>
              <w:bottom w:val="single" w:sz="4" w:space="0" w:color="auto"/>
            </w:tcBorders>
            <w:vAlign w:val="center"/>
          </w:tcPr>
          <w:p w14:paraId="0703291A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  <w:p w14:paraId="546519F5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  <w:p w14:paraId="66FC4EC6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  <w:p w14:paraId="2142B59D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  <w:p w14:paraId="2D1E84B3" w14:textId="7866F7F0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6FAC4C6E" w14:textId="77777777" w:rsidTr="00966B5C">
        <w:trPr>
          <w:cantSplit/>
          <w:trHeight w:val="64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6D9F1"/>
          </w:tcPr>
          <w:p w14:paraId="382B0F06" w14:textId="4BA80AE5" w:rsidR="00963278" w:rsidRPr="003E0136" w:rsidRDefault="00963278" w:rsidP="00963278">
            <w:pPr>
              <w:pStyle w:val="ListParagraph"/>
              <w:numPr>
                <w:ilvl w:val="1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E&amp;S Monitoring and Reporting </w:t>
            </w:r>
          </w:p>
          <w:p w14:paraId="53A803F2" w14:textId="6C39C9C6" w:rsidR="00963278" w:rsidRPr="003E0136" w:rsidRDefault="00963278" w:rsidP="00963278">
            <w:pPr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Detail the types of E&amp;S monitoring performed by the FI across High</w:t>
            </w:r>
            <w:r w:rsidR="00C46A80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and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Medium </w:t>
            </w:r>
            <w:r w:rsidR="00ED7CF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E&amp;S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risk transactions over the reporting period. </w:t>
            </w:r>
          </w:p>
        </w:tc>
      </w:tr>
      <w:tr w:rsidR="00C46A80" w:rsidRPr="003E0136" w14:paraId="1DBF14DB" w14:textId="77777777" w:rsidTr="00ED7CFF">
        <w:trPr>
          <w:cantSplit/>
          <w:trHeight w:val="185"/>
        </w:trPr>
        <w:tc>
          <w:tcPr>
            <w:tcW w:w="1238" w:type="pct"/>
            <w:vMerge w:val="restart"/>
            <w:shd w:val="clear" w:color="auto" w:fill="F2F2F2" w:themeFill="background1" w:themeFillShade="F2"/>
            <w:vAlign w:val="center"/>
          </w:tcPr>
          <w:p w14:paraId="19259CDA" w14:textId="1F873531" w:rsidR="00C46A80" w:rsidRPr="003E0136" w:rsidRDefault="00C46A80" w:rsidP="00ED7C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Type of </w:t>
            </w:r>
            <w:r w:rsidR="00ED7CFF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1882" w:type="pct"/>
            <w:gridSpan w:val="6"/>
            <w:shd w:val="clear" w:color="auto" w:fill="F2F2F2" w:themeFill="background1" w:themeFillShade="F2"/>
          </w:tcPr>
          <w:p w14:paraId="4C8468B5" w14:textId="782D1031" w:rsidR="00C46A80" w:rsidRPr="003E0136" w:rsidRDefault="00C46A80" w:rsidP="00C56FB1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High Risk</w:t>
            </w:r>
          </w:p>
        </w:tc>
        <w:tc>
          <w:tcPr>
            <w:tcW w:w="1880" w:type="pct"/>
            <w:gridSpan w:val="3"/>
            <w:shd w:val="clear" w:color="auto" w:fill="F2F2F2" w:themeFill="background1" w:themeFillShade="F2"/>
          </w:tcPr>
          <w:p w14:paraId="52FF0DBE" w14:textId="0D37E06B" w:rsidR="00C46A80" w:rsidRPr="003E0136" w:rsidRDefault="00C46A80" w:rsidP="00C56FB1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Medium Risk</w:t>
            </w:r>
          </w:p>
        </w:tc>
      </w:tr>
      <w:tr w:rsidR="007B51BF" w:rsidRPr="003E0136" w14:paraId="368B51D1" w14:textId="77777777" w:rsidTr="003561F8">
        <w:trPr>
          <w:cantSplit/>
          <w:trHeight w:val="85"/>
        </w:trPr>
        <w:tc>
          <w:tcPr>
            <w:tcW w:w="1238" w:type="pct"/>
            <w:vMerge/>
            <w:shd w:val="clear" w:color="auto" w:fill="auto"/>
            <w:vAlign w:val="center"/>
          </w:tcPr>
          <w:p w14:paraId="115970A7" w14:textId="4911E58A" w:rsidR="007B51BF" w:rsidRPr="003E0136" w:rsidRDefault="007B51BF" w:rsidP="00C46A8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F2F2F2" w:themeFill="background1" w:themeFillShade="F2"/>
            <w:vAlign w:val="center"/>
          </w:tcPr>
          <w:p w14:paraId="2F4377B5" w14:textId="526F98D8" w:rsidR="007B51BF" w:rsidRPr="003E0136" w:rsidRDefault="00ED7CFF" w:rsidP="003561F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</w:t>
            </w:r>
            <w:r w:rsidR="007B51BF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of Transactions</w:t>
            </w:r>
          </w:p>
        </w:tc>
        <w:tc>
          <w:tcPr>
            <w:tcW w:w="941" w:type="pct"/>
            <w:gridSpan w:val="4"/>
            <w:shd w:val="clear" w:color="auto" w:fill="F2F2F2" w:themeFill="background1" w:themeFillShade="F2"/>
            <w:vAlign w:val="center"/>
          </w:tcPr>
          <w:p w14:paraId="4A5427B4" w14:textId="40FA9FAF" w:rsidR="007B51BF" w:rsidRPr="003E0136" w:rsidRDefault="007B51BF" w:rsidP="003561F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Proportion of </w:t>
            </w:r>
            <w:proofErr w:type="gramStart"/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High Risk</w:t>
            </w:r>
            <w:proofErr w:type="gramEnd"/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r w:rsidR="00E765FF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Transactions</w:t>
            </w:r>
            <w:r w:rsidR="00ED7CFF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41" w:type="pct"/>
            <w:gridSpan w:val="2"/>
            <w:shd w:val="clear" w:color="auto" w:fill="F2F2F2" w:themeFill="background1" w:themeFillShade="F2"/>
            <w:vAlign w:val="center"/>
          </w:tcPr>
          <w:p w14:paraId="7ADEEB05" w14:textId="60B6F8C3" w:rsidR="007B51BF" w:rsidRPr="003E0136" w:rsidRDefault="00ED7CFF" w:rsidP="003561F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Number </w:t>
            </w:r>
            <w:r w:rsidR="007B51BF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of Transactions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5B2BB353" w14:textId="5D77BFDB" w:rsidR="007B51BF" w:rsidRPr="003E0136" w:rsidRDefault="007B51BF" w:rsidP="003561F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Proportion of </w:t>
            </w:r>
            <w:r w:rsidR="00341A3E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Medium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Risk </w:t>
            </w:r>
            <w:r w:rsidR="00E765FF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Transactions </w:t>
            </w:r>
            <w:r w:rsidR="00ED7CFF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(%)</w:t>
            </w:r>
          </w:p>
        </w:tc>
      </w:tr>
      <w:tr w:rsidR="007B51BF" w:rsidRPr="003E0136" w14:paraId="2D19C6C9" w14:textId="77777777" w:rsidTr="00ED7CFF">
        <w:trPr>
          <w:cantSplit/>
          <w:trHeight w:val="460"/>
        </w:trPr>
        <w:tc>
          <w:tcPr>
            <w:tcW w:w="1238" w:type="pct"/>
            <w:shd w:val="clear" w:color="auto" w:fill="auto"/>
            <w:vAlign w:val="center"/>
          </w:tcPr>
          <w:p w14:paraId="2BDDED9F" w14:textId="6EC0FBDD" w:rsidR="007B51BF" w:rsidRPr="003E0136" w:rsidRDefault="007B51BF" w:rsidP="00EF2A61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E&amp;S monitoring site visits performed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64D1AC58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shd w:val="clear" w:color="auto" w:fill="auto"/>
          </w:tcPr>
          <w:p w14:paraId="5ACD9BD6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auto"/>
          </w:tcPr>
          <w:p w14:paraId="624B0B41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3DC0EB90" w14:textId="347E1AAA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7B51BF" w:rsidRPr="003E0136" w14:paraId="132265AB" w14:textId="77777777" w:rsidTr="00ED7CFF">
        <w:trPr>
          <w:cantSplit/>
          <w:trHeight w:val="460"/>
        </w:trPr>
        <w:tc>
          <w:tcPr>
            <w:tcW w:w="1238" w:type="pct"/>
            <w:shd w:val="clear" w:color="auto" w:fill="auto"/>
            <w:vAlign w:val="center"/>
          </w:tcPr>
          <w:p w14:paraId="5E755A90" w14:textId="7C9E6F3F" w:rsidR="007B51BF" w:rsidRPr="003E0136" w:rsidRDefault="007B51BF" w:rsidP="00EF2A61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Desktop E&amp;S monitoring review performed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57DEE2AE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shd w:val="clear" w:color="auto" w:fill="auto"/>
          </w:tcPr>
          <w:p w14:paraId="1CAB0FD2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auto"/>
          </w:tcPr>
          <w:p w14:paraId="0633144B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410FB869" w14:textId="0BA1C3BD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341A3E" w:rsidRPr="003E0136" w14:paraId="021B08CC" w14:textId="77777777" w:rsidTr="00ED7CFF">
        <w:trPr>
          <w:cantSplit/>
          <w:trHeight w:val="460"/>
        </w:trPr>
        <w:tc>
          <w:tcPr>
            <w:tcW w:w="1238" w:type="pct"/>
            <w:shd w:val="clear" w:color="auto" w:fill="auto"/>
            <w:vAlign w:val="center"/>
          </w:tcPr>
          <w:p w14:paraId="7B43D37F" w14:textId="2180057C" w:rsidR="00341A3E" w:rsidRPr="003E0136" w:rsidRDefault="00341A3E" w:rsidP="00EF2A61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Client engagements on E&amp;S </w:t>
            </w:r>
            <w:r w:rsidR="00321491" w:rsidRPr="003E0136">
              <w:rPr>
                <w:rFonts w:ascii="Georgia" w:hAnsi="Georgia" w:cs="Arial"/>
                <w:sz w:val="20"/>
                <w:szCs w:val="20"/>
              </w:rPr>
              <w:t>aspects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7415B88D" w14:textId="77777777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shd w:val="clear" w:color="auto" w:fill="auto"/>
          </w:tcPr>
          <w:p w14:paraId="0055FE86" w14:textId="77777777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auto"/>
          </w:tcPr>
          <w:p w14:paraId="7E12138C" w14:textId="77777777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1684DCE5" w14:textId="77777777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7B51BF" w:rsidRPr="003E0136" w14:paraId="2D135284" w14:textId="77777777" w:rsidTr="00ED7CFF">
        <w:trPr>
          <w:cantSplit/>
          <w:trHeight w:val="460"/>
        </w:trPr>
        <w:tc>
          <w:tcPr>
            <w:tcW w:w="1238" w:type="pct"/>
            <w:shd w:val="clear" w:color="auto" w:fill="auto"/>
            <w:vAlign w:val="center"/>
          </w:tcPr>
          <w:p w14:paraId="205E40A3" w14:textId="7C8B34FC" w:rsidR="007B51BF" w:rsidRPr="003E0136" w:rsidRDefault="007B51BF" w:rsidP="00EF2A61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External audits performed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1A95DBD7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shd w:val="clear" w:color="auto" w:fill="auto"/>
          </w:tcPr>
          <w:p w14:paraId="021F75F1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auto"/>
          </w:tcPr>
          <w:p w14:paraId="672927A4" w14:textId="77777777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578BE66A" w14:textId="37AA47EB" w:rsidR="007B51BF" w:rsidRPr="003E0136" w:rsidRDefault="007B51BF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341A3E" w:rsidRPr="003E0136" w14:paraId="589D5063" w14:textId="77777777" w:rsidTr="00E765FF">
        <w:trPr>
          <w:cantSplit/>
          <w:trHeight w:val="460"/>
        </w:trPr>
        <w:tc>
          <w:tcPr>
            <w:tcW w:w="1238" w:type="pct"/>
            <w:shd w:val="clear" w:color="auto" w:fill="F2F2F2" w:themeFill="background1" w:themeFillShade="F2"/>
            <w:vAlign w:val="center"/>
          </w:tcPr>
          <w:p w14:paraId="213FE0A5" w14:textId="36154244" w:rsidR="00341A3E" w:rsidRPr="003E0136" w:rsidRDefault="00341A3E" w:rsidP="00BA1BA7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1" w:type="pct"/>
            <w:gridSpan w:val="2"/>
            <w:shd w:val="clear" w:color="auto" w:fill="F2F2F2" w:themeFill="background1" w:themeFillShade="F2"/>
          </w:tcPr>
          <w:p w14:paraId="03C665E5" w14:textId="77777777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4"/>
            <w:shd w:val="clear" w:color="auto" w:fill="F2F2F2" w:themeFill="background1" w:themeFillShade="F2"/>
          </w:tcPr>
          <w:p w14:paraId="6D3FAFE5" w14:textId="77777777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shd w:val="clear" w:color="auto" w:fill="F2F2F2" w:themeFill="background1" w:themeFillShade="F2"/>
          </w:tcPr>
          <w:p w14:paraId="3F4BDCC0" w14:textId="77777777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2F2F2" w:themeFill="background1" w:themeFillShade="F2"/>
          </w:tcPr>
          <w:p w14:paraId="14A6A890" w14:textId="1B255F51" w:rsidR="00341A3E" w:rsidRPr="003E0136" w:rsidRDefault="00341A3E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63278" w:rsidRPr="003E0136" w14:paraId="013A20C2" w14:textId="77777777" w:rsidTr="00966B5C">
        <w:trPr>
          <w:cantSplit/>
          <w:trHeight w:val="28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6D9F1"/>
          </w:tcPr>
          <w:p w14:paraId="1BE25F28" w14:textId="7DC6E69B" w:rsidR="00963278" w:rsidRPr="003E0136" w:rsidRDefault="00963278" w:rsidP="00963278">
            <w:pPr>
              <w:pStyle w:val="ListParagraph"/>
              <w:keepNext/>
              <w:numPr>
                <w:ilvl w:val="1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 xml:space="preserve">E&amp;S Incidents </w:t>
            </w:r>
          </w:p>
          <w:p w14:paraId="5BB31BB0" w14:textId="13BC1254" w:rsidR="00963278" w:rsidRPr="003E0136" w:rsidRDefault="00963278" w:rsidP="00963278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Record any major incidents (i.e., fatalities, damage to property/equipment, fire, environmental spills, etc) identified during the reporting period, including how these incidents were handled, investigated, and addressed.</w:t>
            </w:r>
            <w:r w:rsidR="00CA7B10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="005920C6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FI to use discretion in listing details around incidents and to focus on</w:t>
            </w:r>
            <w:r w:rsidR="00E14D9C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providing details on only the most significant major incidents across the portfolio.</w:t>
            </w:r>
          </w:p>
        </w:tc>
      </w:tr>
      <w:tr w:rsidR="00963278" w:rsidRPr="003E0136" w14:paraId="56DB34A1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04F83E" w14:textId="5C5E916A" w:rsidR="00963278" w:rsidRPr="003E0136" w:rsidRDefault="00963278" w:rsidP="00963278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41A7F" w14:textId="1BE5A41A" w:rsidR="00963278" w:rsidRPr="003E0136" w:rsidRDefault="00963278" w:rsidP="00963278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 of Transactions</w:t>
            </w:r>
          </w:p>
        </w:tc>
        <w:tc>
          <w:tcPr>
            <w:tcW w:w="2073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E9086" w14:textId="384D2D7D" w:rsidR="00963278" w:rsidRPr="003E0136" w:rsidRDefault="00963278" w:rsidP="00963278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Portfolio (%)</w:t>
            </w:r>
          </w:p>
        </w:tc>
      </w:tr>
      <w:tr w:rsidR="00963278" w:rsidRPr="003E0136" w14:paraId="5408F411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0B799" w14:textId="4A2EFE45" w:rsidR="00963278" w:rsidRPr="003E013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 xml:space="preserve">Major incidents reported by High E&amp;S risk transactions </w:t>
            </w: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A02F16" w14:textId="07DD6D8B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207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B67C5" w14:textId="475AA4C9" w:rsidR="00963278" w:rsidRPr="003E0136" w:rsidRDefault="00963278" w:rsidP="00963278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63278" w:rsidRPr="003E0136" w14:paraId="2CC4BB5E" w14:textId="77777777" w:rsidTr="007E2011">
        <w:trPr>
          <w:cantSplit/>
          <w:trHeight w:val="458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08F5" w14:textId="2A726CE2" w:rsidR="00963278" w:rsidRPr="003E0136" w:rsidDel="002368D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Major incidents reported by Medium E&amp;S risk transactions</w:t>
            </w: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3C874F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207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F8F2E" w14:textId="77777777" w:rsidR="00963278" w:rsidRPr="003E0136" w:rsidRDefault="00963278" w:rsidP="00963278">
            <w:pPr>
              <w:keepNext/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30C7E4CA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86C5" w14:textId="7B7090FA" w:rsidR="00963278" w:rsidRPr="003E0136" w:rsidRDefault="00963278" w:rsidP="00963278">
            <w:pPr>
              <w:keepNext/>
              <w:jc w:val="right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06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D1CFE" w14:textId="6E7651AB" w:rsidR="00963278" w:rsidRPr="003E013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E058F" w14:textId="3438817E" w:rsidR="00963278" w:rsidRPr="003E0136" w:rsidRDefault="00963278" w:rsidP="00963278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63278" w:rsidRPr="003E0136" w14:paraId="0E14228D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6F0DE51" w14:textId="6E5F0266" w:rsidR="00963278" w:rsidRPr="003E0136" w:rsidRDefault="00963278" w:rsidP="0096327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Client/Transaction Name/Details</w:t>
            </w: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18DB001" w14:textId="336ED987" w:rsidR="00963278" w:rsidRPr="003E0136" w:rsidDel="005F3939" w:rsidRDefault="00963278" w:rsidP="0096327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Description of Incidents</w:t>
            </w:r>
          </w:p>
        </w:tc>
        <w:tc>
          <w:tcPr>
            <w:tcW w:w="2073" w:type="pct"/>
            <w:gridSpan w:val="4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03A5E378" w14:textId="08D2C4AB" w:rsidR="00963278" w:rsidRPr="003E0136" w:rsidDel="005F3939" w:rsidRDefault="00963278" w:rsidP="0096327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Description of Corrective Actions and Measures Taken</w:t>
            </w:r>
          </w:p>
        </w:tc>
      </w:tr>
      <w:tr w:rsidR="00963278" w:rsidRPr="003E0136" w14:paraId="642C0CA0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A9C7" w14:textId="77777777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F40A3D" w14:textId="77777777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2073" w:type="pct"/>
            <w:gridSpan w:val="4"/>
            <w:shd w:val="clear" w:color="auto" w:fill="auto"/>
            <w:vAlign w:val="center"/>
          </w:tcPr>
          <w:p w14:paraId="5E39A2EB" w14:textId="6F6D17A4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23C7C108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DCA12" w14:textId="77777777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EE1544" w14:textId="77777777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2073" w:type="pct"/>
            <w:gridSpan w:val="4"/>
            <w:shd w:val="clear" w:color="auto" w:fill="auto"/>
            <w:vAlign w:val="center"/>
          </w:tcPr>
          <w:p w14:paraId="2AB2ADF1" w14:textId="77777777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69A27C27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35B3" w14:textId="77777777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75BDE9" w14:textId="77777777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2073" w:type="pct"/>
            <w:gridSpan w:val="4"/>
            <w:shd w:val="clear" w:color="auto" w:fill="auto"/>
            <w:vAlign w:val="center"/>
          </w:tcPr>
          <w:p w14:paraId="68038216" w14:textId="77777777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7C7A19CF" w14:textId="77777777" w:rsidTr="007E2011">
        <w:trPr>
          <w:cantSplit/>
          <w:trHeight w:val="285"/>
        </w:trPr>
        <w:tc>
          <w:tcPr>
            <w:tcW w:w="1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14012" w14:textId="77777777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D3E3D6" w14:textId="77777777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  <w:tc>
          <w:tcPr>
            <w:tcW w:w="2073" w:type="pct"/>
            <w:gridSpan w:val="4"/>
            <w:shd w:val="clear" w:color="auto" w:fill="auto"/>
            <w:vAlign w:val="center"/>
          </w:tcPr>
          <w:p w14:paraId="2CD82E6F" w14:textId="77777777" w:rsidR="00963278" w:rsidRPr="003E0136" w:rsidDel="005F3939" w:rsidRDefault="00963278" w:rsidP="00963278">
            <w:pPr>
              <w:rPr>
                <w:rFonts w:ascii="Georgia" w:hAnsi="Georgia" w:cs="Arial"/>
                <w:i/>
                <w:iCs/>
                <w:sz w:val="18"/>
                <w:szCs w:val="18"/>
              </w:rPr>
            </w:pPr>
          </w:p>
        </w:tc>
      </w:tr>
      <w:tr w:rsidR="00963278" w:rsidRPr="003E0136" w14:paraId="6B72FEFA" w14:textId="77777777" w:rsidTr="00966B5C">
        <w:trPr>
          <w:cantSplit/>
          <w:trHeight w:val="28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C6D9F1"/>
          </w:tcPr>
          <w:p w14:paraId="49F35843" w14:textId="77777777" w:rsidR="00963278" w:rsidRPr="003E0136" w:rsidRDefault="00963278" w:rsidP="00963278">
            <w:pPr>
              <w:pStyle w:val="ListParagraph"/>
              <w:numPr>
                <w:ilvl w:val="1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E&amp;S Grievances </w:t>
            </w:r>
          </w:p>
          <w:p w14:paraId="21D109D5" w14:textId="4968755B" w:rsidR="00963278" w:rsidRPr="003E0136" w:rsidRDefault="00963278" w:rsidP="00963278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Highlight any grievances reported by transactions across the </w:t>
            </w:r>
            <w:r w:rsidR="00BA1BA7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FI’s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portfolio during the reporting period, including how these grievances were handled and resolved</w:t>
            </w:r>
            <w:r w:rsidR="00E14D9C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. FI to use discretion in listing details around grievances listed and to focus on providing details on only the most significant major incidents across the portfolio.</w:t>
            </w:r>
          </w:p>
        </w:tc>
      </w:tr>
      <w:tr w:rsidR="00963278" w:rsidRPr="003E0136" w14:paraId="4B5CAF1C" w14:textId="77777777" w:rsidTr="007E2011">
        <w:trPr>
          <w:cantSplit/>
          <w:trHeight w:val="293"/>
        </w:trPr>
        <w:tc>
          <w:tcPr>
            <w:tcW w:w="1865" w:type="pct"/>
            <w:gridSpan w:val="2"/>
            <w:shd w:val="clear" w:color="auto" w:fill="F2F2F2" w:themeFill="background1" w:themeFillShade="F2"/>
          </w:tcPr>
          <w:p w14:paraId="08F699AA" w14:textId="4881FE7B" w:rsidR="00963278" w:rsidRPr="003E0136" w:rsidRDefault="00963278" w:rsidP="00963278">
            <w:pPr>
              <w:tabs>
                <w:tab w:val="left" w:pos="1125"/>
              </w:tabs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010" w:type="pct"/>
            <w:gridSpan w:val="3"/>
            <w:shd w:val="clear" w:color="auto" w:fill="F2F2F2" w:themeFill="background1" w:themeFillShade="F2"/>
            <w:vAlign w:val="center"/>
          </w:tcPr>
          <w:p w14:paraId="7771BE2F" w14:textId="3E0C8173" w:rsidR="00963278" w:rsidRPr="003E0136" w:rsidRDefault="00963278" w:rsidP="0096327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Number of Transactions</w:t>
            </w:r>
          </w:p>
        </w:tc>
        <w:tc>
          <w:tcPr>
            <w:tcW w:w="2125" w:type="pct"/>
            <w:gridSpan w:val="5"/>
            <w:shd w:val="clear" w:color="auto" w:fill="F2F2F2" w:themeFill="background1" w:themeFillShade="F2"/>
            <w:vAlign w:val="center"/>
          </w:tcPr>
          <w:p w14:paraId="781150FB" w14:textId="03D6E26A" w:rsidR="00963278" w:rsidRPr="003E0136" w:rsidRDefault="00963278" w:rsidP="0096327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Proportion of Total Portfolio (%)</w:t>
            </w:r>
          </w:p>
        </w:tc>
      </w:tr>
      <w:tr w:rsidR="00963278" w:rsidRPr="003E0136" w14:paraId="53DDB97D" w14:textId="77777777" w:rsidTr="007E2011">
        <w:trPr>
          <w:cantSplit/>
          <w:trHeight w:val="292"/>
        </w:trPr>
        <w:tc>
          <w:tcPr>
            <w:tcW w:w="1865" w:type="pct"/>
            <w:gridSpan w:val="2"/>
            <w:shd w:val="clear" w:color="auto" w:fill="auto"/>
          </w:tcPr>
          <w:p w14:paraId="7C1BAC21" w14:textId="12F08BD0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Grievances reported by High E&amp;S risk transactions</w:t>
            </w:r>
          </w:p>
        </w:tc>
        <w:tc>
          <w:tcPr>
            <w:tcW w:w="1010" w:type="pct"/>
            <w:gridSpan w:val="3"/>
            <w:shd w:val="clear" w:color="auto" w:fill="auto"/>
          </w:tcPr>
          <w:p w14:paraId="4CA77250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59BE12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63278" w:rsidRPr="003E0136" w14:paraId="751801CB" w14:textId="77777777" w:rsidTr="007E2011">
        <w:trPr>
          <w:cantSplit/>
          <w:trHeight w:val="292"/>
        </w:trPr>
        <w:tc>
          <w:tcPr>
            <w:tcW w:w="1865" w:type="pct"/>
            <w:gridSpan w:val="2"/>
            <w:shd w:val="clear" w:color="auto" w:fill="auto"/>
          </w:tcPr>
          <w:p w14:paraId="328B18A1" w14:textId="039674B8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sz w:val="20"/>
                <w:szCs w:val="20"/>
              </w:rPr>
              <w:t>Grievances reported by Medium E&amp;S risk transactions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3CB806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38BF84" w14:textId="6BB5A515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63278" w:rsidRPr="003E0136" w14:paraId="5E3B8EAA" w14:textId="77777777" w:rsidTr="007E2011">
        <w:trPr>
          <w:cantSplit/>
          <w:trHeight w:val="292"/>
        </w:trPr>
        <w:tc>
          <w:tcPr>
            <w:tcW w:w="1865" w:type="pct"/>
            <w:gridSpan w:val="2"/>
            <w:shd w:val="clear" w:color="auto" w:fill="F2F2F2" w:themeFill="background1" w:themeFillShade="F2"/>
          </w:tcPr>
          <w:p w14:paraId="43A438B2" w14:textId="37114F8F" w:rsidR="00963278" w:rsidRPr="003E0136" w:rsidRDefault="00963278" w:rsidP="00963278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Total</w:t>
            </w:r>
            <w:r w:rsidRPr="003E0136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1FCE66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3DC856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63278" w:rsidRPr="003E0136" w14:paraId="01A937A2" w14:textId="77777777" w:rsidTr="007E2011">
        <w:trPr>
          <w:cantSplit/>
          <w:trHeight w:val="292"/>
        </w:trPr>
        <w:tc>
          <w:tcPr>
            <w:tcW w:w="1865" w:type="pct"/>
            <w:gridSpan w:val="2"/>
            <w:shd w:val="clear" w:color="auto" w:fill="C6D9F1"/>
            <w:vAlign w:val="center"/>
          </w:tcPr>
          <w:p w14:paraId="7EE8D209" w14:textId="24FE12A3" w:rsidR="00963278" w:rsidRPr="003E0136" w:rsidRDefault="00963278" w:rsidP="00963278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Client/Transaction Name/Details</w:t>
            </w:r>
          </w:p>
        </w:tc>
        <w:tc>
          <w:tcPr>
            <w:tcW w:w="1010" w:type="pct"/>
            <w:gridSpan w:val="3"/>
            <w:shd w:val="clear" w:color="auto" w:fill="C6D9F1"/>
            <w:vAlign w:val="center"/>
          </w:tcPr>
          <w:p w14:paraId="44CEB142" w14:textId="3E087928" w:rsidR="00963278" w:rsidRPr="003E0136" w:rsidRDefault="00963278" w:rsidP="0096327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Description of Grievances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87312E8" w14:textId="00CEE2F6" w:rsidR="00963278" w:rsidRPr="003E0136" w:rsidRDefault="00963278" w:rsidP="00963278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Description of Corrective Actions and Measures Taken</w:t>
            </w:r>
          </w:p>
        </w:tc>
      </w:tr>
      <w:tr w:rsidR="00963278" w:rsidRPr="003E0136" w14:paraId="5E7F937C" w14:textId="77777777" w:rsidTr="007E2011">
        <w:trPr>
          <w:cantSplit/>
          <w:trHeight w:val="292"/>
        </w:trPr>
        <w:tc>
          <w:tcPr>
            <w:tcW w:w="1865" w:type="pct"/>
            <w:gridSpan w:val="2"/>
            <w:shd w:val="clear" w:color="auto" w:fill="auto"/>
          </w:tcPr>
          <w:p w14:paraId="63B87A9A" w14:textId="77777777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shd w:val="clear" w:color="auto" w:fill="auto"/>
          </w:tcPr>
          <w:p w14:paraId="3744409C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pct"/>
            <w:gridSpan w:val="5"/>
            <w:shd w:val="clear" w:color="auto" w:fill="auto"/>
          </w:tcPr>
          <w:p w14:paraId="506F7245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63278" w:rsidRPr="003E0136" w14:paraId="10259B0E" w14:textId="77777777" w:rsidTr="007E2011">
        <w:trPr>
          <w:cantSplit/>
          <w:trHeight w:val="292"/>
        </w:trPr>
        <w:tc>
          <w:tcPr>
            <w:tcW w:w="1865" w:type="pct"/>
            <w:gridSpan w:val="2"/>
            <w:shd w:val="clear" w:color="auto" w:fill="auto"/>
          </w:tcPr>
          <w:p w14:paraId="1EA1D493" w14:textId="77777777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shd w:val="clear" w:color="auto" w:fill="auto"/>
          </w:tcPr>
          <w:p w14:paraId="4164DE0C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pct"/>
            <w:gridSpan w:val="5"/>
            <w:shd w:val="clear" w:color="auto" w:fill="auto"/>
          </w:tcPr>
          <w:p w14:paraId="55A7599C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963278" w:rsidRPr="003E0136" w14:paraId="1818B1EB" w14:textId="77777777" w:rsidTr="007E2011">
        <w:trPr>
          <w:cantSplit/>
          <w:trHeight w:val="292"/>
        </w:trPr>
        <w:tc>
          <w:tcPr>
            <w:tcW w:w="1865" w:type="pct"/>
            <w:gridSpan w:val="2"/>
            <w:shd w:val="clear" w:color="auto" w:fill="auto"/>
          </w:tcPr>
          <w:p w14:paraId="13D8FB12" w14:textId="77777777" w:rsidR="00963278" w:rsidRPr="003E0136" w:rsidRDefault="00963278" w:rsidP="00963278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010" w:type="pct"/>
            <w:gridSpan w:val="3"/>
            <w:shd w:val="clear" w:color="auto" w:fill="auto"/>
          </w:tcPr>
          <w:p w14:paraId="06248C2D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125" w:type="pct"/>
            <w:gridSpan w:val="5"/>
            <w:shd w:val="clear" w:color="auto" w:fill="auto"/>
          </w:tcPr>
          <w:p w14:paraId="43225B63" w14:textId="77777777" w:rsidR="00963278" w:rsidRPr="003E0136" w:rsidRDefault="00963278" w:rsidP="00963278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</w:tbl>
    <w:p w14:paraId="2A44D934" w14:textId="77777777" w:rsidR="00CF2777" w:rsidRPr="003E0136" w:rsidRDefault="00CF2777">
      <w:pPr>
        <w:rPr>
          <w:rFonts w:ascii="Georgia" w:hAnsi="Georg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7"/>
        <w:gridCol w:w="2734"/>
        <w:gridCol w:w="6157"/>
      </w:tblGrid>
      <w:tr w:rsidR="00CF2777" w:rsidRPr="003E0136" w14:paraId="40479887" w14:textId="77777777" w:rsidTr="00966B5C">
        <w:trPr>
          <w:cantSplit/>
          <w:trHeight w:val="292"/>
        </w:trPr>
        <w:tc>
          <w:tcPr>
            <w:tcW w:w="5000" w:type="pct"/>
            <w:gridSpan w:val="3"/>
            <w:shd w:val="clear" w:color="auto" w:fill="17365D"/>
          </w:tcPr>
          <w:p w14:paraId="68A941A0" w14:textId="52DD5A58" w:rsidR="00CF2777" w:rsidRPr="003E0136" w:rsidRDefault="00CF2777" w:rsidP="001B0B5A">
            <w:pPr>
              <w:pStyle w:val="ListParagraph"/>
              <w:keepNext/>
              <w:numPr>
                <w:ilvl w:val="0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 xml:space="preserve">E&amp;S GOOD PRACTICE &amp; </w:t>
            </w:r>
            <w:r w:rsidR="00421733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HIGHLIGHTS </w:t>
            </w:r>
          </w:p>
        </w:tc>
      </w:tr>
      <w:tr w:rsidR="00543274" w:rsidRPr="003E0136" w14:paraId="5FAAAB1D" w14:textId="77777777" w:rsidTr="00966B5C">
        <w:trPr>
          <w:cantSplit/>
          <w:trHeight w:val="292"/>
        </w:trPr>
        <w:tc>
          <w:tcPr>
            <w:tcW w:w="5000" w:type="pct"/>
            <w:gridSpan w:val="3"/>
            <w:shd w:val="clear" w:color="auto" w:fill="C6D9F1"/>
          </w:tcPr>
          <w:p w14:paraId="17117122" w14:textId="63EA6F09" w:rsidR="00543274" w:rsidRPr="003E0136" w:rsidRDefault="0081738D" w:rsidP="001B0B5A">
            <w:pPr>
              <w:pStyle w:val="ListParagraph"/>
              <w:keepNext/>
              <w:numPr>
                <w:ilvl w:val="1"/>
                <w:numId w:val="21"/>
              </w:num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Highlight </w:t>
            </w:r>
            <w:r w:rsidR="000F4667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G</w:t>
            </w: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ood E&amp;S Practice and Performance</w:t>
            </w:r>
            <w:r w:rsidR="00CC1B0A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</w:p>
          <w:p w14:paraId="2EBB39F1" w14:textId="420FA8A3" w:rsidR="000F4667" w:rsidRPr="003E0136" w:rsidRDefault="000F4667" w:rsidP="001B0B5A">
            <w:pPr>
              <w:keepNext/>
              <w:spacing w:before="60" w:after="60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Provide descriptio</w:t>
            </w:r>
            <w:r w:rsidR="00036B9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ns 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of</w:t>
            </w:r>
            <w:r w:rsidR="00036B9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any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="008839B1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transactions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="00E62A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demonstrating</w:t>
            </w:r>
            <w:r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="00F509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good practice regarding E&amp;S </w:t>
            </w:r>
            <w:r w:rsidR="00E62A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aspects</w:t>
            </w:r>
            <w:r w:rsidR="00F509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(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i.e.,</w:t>
            </w:r>
            <w:r w:rsidR="00F509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development/implementation of E&amp;S polices and </w:t>
            </w:r>
            <w:r w:rsidR="00F509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Management System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s (ESMS)</w:t>
            </w:r>
            <w:r w:rsidR="00F509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, 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Occupational health and Safety (OHS)</w:t>
            </w:r>
            <w:r w:rsidR="003F682A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,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Labour and Human Resources (</w:t>
            </w:r>
            <w:r w:rsidR="003F682A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H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R) and/</w:t>
            </w:r>
            <w:r w:rsidR="003F682A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or energy efficiencies initiatives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implemented</w:t>
            </w:r>
            <w:r w:rsidR="003F682A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,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E&amp;S</w:t>
            </w:r>
            <w:r w:rsidR="003F682A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training and capacity building </w:t>
            </w:r>
            <w:r w:rsidR="00E62A3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initiatives</w:t>
            </w:r>
            <w:r w:rsidR="008839B1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>,</w:t>
            </w:r>
            <w:r w:rsidR="00D228BF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stakeholder engagement initiatives</w:t>
            </w:r>
            <w:r w:rsidR="008839B1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etc)</w:t>
            </w:r>
            <w:r w:rsidR="003F682A" w:rsidRPr="003E0136">
              <w:rPr>
                <w:rFonts w:ascii="Georgia" w:hAnsi="Georgia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0134" w:rsidRPr="003E0136" w14:paraId="40BE4A10" w14:textId="77777777" w:rsidTr="001B0B5A">
        <w:trPr>
          <w:cantSplit/>
          <w:trHeight w:val="292"/>
        </w:trPr>
        <w:tc>
          <w:tcPr>
            <w:tcW w:w="1813" w:type="pct"/>
            <w:shd w:val="clear" w:color="auto" w:fill="C6D9F1"/>
            <w:vAlign w:val="center"/>
          </w:tcPr>
          <w:p w14:paraId="458BCAB4" w14:textId="66BB1B52" w:rsidR="000A0134" w:rsidRPr="003E0136" w:rsidRDefault="000A0134" w:rsidP="001B0B5A">
            <w:pPr>
              <w:keepNext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Client/Transaction Name/Details</w:t>
            </w:r>
          </w:p>
        </w:tc>
        <w:tc>
          <w:tcPr>
            <w:tcW w:w="980" w:type="pct"/>
            <w:shd w:val="clear" w:color="auto" w:fill="C6D9F1"/>
            <w:vAlign w:val="center"/>
          </w:tcPr>
          <w:p w14:paraId="1EEC4258" w14:textId="4790EABA" w:rsidR="000A0134" w:rsidRPr="003E0136" w:rsidRDefault="000A0134" w:rsidP="001B0B5A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Sector &amp; Financing Type</w:t>
            </w:r>
          </w:p>
        </w:tc>
        <w:tc>
          <w:tcPr>
            <w:tcW w:w="2207" w:type="pct"/>
            <w:shd w:val="clear" w:color="auto" w:fill="C6D9F1"/>
            <w:vAlign w:val="center"/>
          </w:tcPr>
          <w:p w14:paraId="68B9F379" w14:textId="138B96F6" w:rsidR="000A0134" w:rsidRPr="003E0136" w:rsidRDefault="000A0134" w:rsidP="001B0B5A">
            <w:pPr>
              <w:keepNext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>Description</w:t>
            </w:r>
            <w:r w:rsidR="001C5C70" w:rsidRPr="003E0136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of Initiative</w:t>
            </w:r>
          </w:p>
        </w:tc>
      </w:tr>
      <w:tr w:rsidR="000A0134" w:rsidRPr="003E0136" w14:paraId="631C018D" w14:textId="77777777" w:rsidTr="00966B5C">
        <w:trPr>
          <w:cantSplit/>
          <w:trHeight w:val="292"/>
        </w:trPr>
        <w:tc>
          <w:tcPr>
            <w:tcW w:w="1813" w:type="pct"/>
            <w:shd w:val="clear" w:color="auto" w:fill="auto"/>
          </w:tcPr>
          <w:p w14:paraId="6AFA8609" w14:textId="77777777" w:rsidR="000A0134" w:rsidRPr="003E0136" w:rsidRDefault="000A0134" w:rsidP="001B0B5A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27F4F5CA" w14:textId="77777777" w:rsidR="000A0134" w:rsidRPr="003E0136" w:rsidRDefault="000A0134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shd w:val="clear" w:color="auto" w:fill="auto"/>
          </w:tcPr>
          <w:p w14:paraId="7B861D39" w14:textId="77777777" w:rsidR="000A0134" w:rsidRPr="003E0136" w:rsidRDefault="000A0134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0A0134" w:rsidRPr="003E0136" w14:paraId="283C6650" w14:textId="77777777" w:rsidTr="00966B5C">
        <w:trPr>
          <w:cantSplit/>
          <w:trHeight w:val="292"/>
        </w:trPr>
        <w:tc>
          <w:tcPr>
            <w:tcW w:w="1813" w:type="pct"/>
            <w:shd w:val="clear" w:color="auto" w:fill="auto"/>
          </w:tcPr>
          <w:p w14:paraId="625DBC78" w14:textId="77777777" w:rsidR="000A0134" w:rsidRPr="003E0136" w:rsidRDefault="000A0134" w:rsidP="001B0B5A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411444E0" w14:textId="77777777" w:rsidR="000A0134" w:rsidRPr="003E0136" w:rsidRDefault="000A0134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shd w:val="clear" w:color="auto" w:fill="auto"/>
          </w:tcPr>
          <w:p w14:paraId="41A313D3" w14:textId="77777777" w:rsidR="000A0134" w:rsidRPr="003E0136" w:rsidRDefault="000A0134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81738D" w:rsidRPr="003E0136" w14:paraId="6D80BEE9" w14:textId="77777777" w:rsidTr="00966B5C">
        <w:trPr>
          <w:cantSplit/>
          <w:trHeight w:val="292"/>
        </w:trPr>
        <w:tc>
          <w:tcPr>
            <w:tcW w:w="1813" w:type="pct"/>
            <w:shd w:val="clear" w:color="auto" w:fill="auto"/>
          </w:tcPr>
          <w:p w14:paraId="0CA801EC" w14:textId="77777777" w:rsidR="0081738D" w:rsidRPr="003E0136" w:rsidRDefault="0081738D" w:rsidP="001B0B5A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245E6D17" w14:textId="77777777" w:rsidR="0081738D" w:rsidRPr="003E0136" w:rsidRDefault="0081738D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shd w:val="clear" w:color="auto" w:fill="auto"/>
          </w:tcPr>
          <w:p w14:paraId="558BC13A" w14:textId="77777777" w:rsidR="0081738D" w:rsidRPr="003E0136" w:rsidRDefault="0081738D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81738D" w:rsidRPr="003E0136" w14:paraId="21A5340F" w14:textId="77777777" w:rsidTr="00966B5C">
        <w:trPr>
          <w:cantSplit/>
          <w:trHeight w:val="292"/>
        </w:trPr>
        <w:tc>
          <w:tcPr>
            <w:tcW w:w="1813" w:type="pct"/>
            <w:shd w:val="clear" w:color="auto" w:fill="auto"/>
          </w:tcPr>
          <w:p w14:paraId="74B7B2F6" w14:textId="77777777" w:rsidR="0081738D" w:rsidRPr="003E0136" w:rsidRDefault="0081738D" w:rsidP="001B0B5A">
            <w:pPr>
              <w:keepNext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46597A15" w14:textId="77777777" w:rsidR="0081738D" w:rsidRPr="003E0136" w:rsidRDefault="0081738D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207" w:type="pct"/>
            <w:shd w:val="clear" w:color="auto" w:fill="auto"/>
          </w:tcPr>
          <w:p w14:paraId="71AD5510" w14:textId="77777777" w:rsidR="0081738D" w:rsidRPr="003E0136" w:rsidRDefault="0081738D" w:rsidP="001B0B5A">
            <w:pPr>
              <w:keepNext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</w:tbl>
    <w:p w14:paraId="63B601E8" w14:textId="41A521DC" w:rsidR="00130A26" w:rsidRPr="003E0136" w:rsidRDefault="00130A26" w:rsidP="00966B5C">
      <w:pPr>
        <w:pStyle w:val="ListParagraph"/>
        <w:rPr>
          <w:rFonts w:ascii="Georgia" w:hAnsi="Georgia"/>
        </w:rPr>
      </w:pPr>
    </w:p>
    <w:sectPr w:rsidR="00130A26" w:rsidRPr="003E0136" w:rsidSect="00D055C8">
      <w:pgSz w:w="16838" w:h="11906" w:orient="landscape" w:code="9"/>
      <w:pgMar w:top="1440" w:right="1440" w:bottom="1440" w:left="1440" w:header="284" w:footer="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C4CEF" w14:textId="77777777" w:rsidR="009D0550" w:rsidRDefault="009D0550" w:rsidP="00805CFE">
      <w:pPr>
        <w:spacing w:after="0" w:line="240" w:lineRule="auto"/>
      </w:pPr>
      <w:r>
        <w:separator/>
      </w:r>
    </w:p>
  </w:endnote>
  <w:endnote w:type="continuationSeparator" w:id="0">
    <w:p w14:paraId="5D8C8EF4" w14:textId="77777777" w:rsidR="009D0550" w:rsidRDefault="009D0550" w:rsidP="0080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4078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FE50043" w14:textId="58F1B1DE" w:rsidR="00080939" w:rsidRPr="00080939" w:rsidRDefault="0008093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080939">
          <w:rPr>
            <w:rFonts w:ascii="Arial" w:hAnsi="Arial" w:cs="Arial"/>
            <w:sz w:val="20"/>
            <w:szCs w:val="20"/>
          </w:rPr>
          <w:fldChar w:fldCharType="begin"/>
        </w:r>
        <w:r w:rsidRPr="000809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80939">
          <w:rPr>
            <w:rFonts w:ascii="Arial" w:hAnsi="Arial" w:cs="Arial"/>
            <w:sz w:val="20"/>
            <w:szCs w:val="20"/>
          </w:rPr>
          <w:fldChar w:fldCharType="separate"/>
        </w:r>
        <w:r w:rsidRPr="00080939">
          <w:rPr>
            <w:rFonts w:ascii="Arial" w:hAnsi="Arial" w:cs="Arial"/>
            <w:noProof/>
            <w:sz w:val="20"/>
            <w:szCs w:val="20"/>
          </w:rPr>
          <w:t>2</w:t>
        </w:r>
        <w:r w:rsidRPr="000809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A636352" w14:textId="77777777" w:rsidR="00080939" w:rsidRPr="00080939" w:rsidRDefault="00080939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5EA9" w14:textId="77777777" w:rsidR="009D0550" w:rsidRDefault="009D0550" w:rsidP="00805CFE">
      <w:pPr>
        <w:spacing w:after="0" w:line="240" w:lineRule="auto"/>
      </w:pPr>
      <w:r>
        <w:separator/>
      </w:r>
    </w:p>
  </w:footnote>
  <w:footnote w:type="continuationSeparator" w:id="0">
    <w:p w14:paraId="3C840417" w14:textId="77777777" w:rsidR="009D0550" w:rsidRDefault="009D0550" w:rsidP="00805CFE">
      <w:pPr>
        <w:spacing w:after="0" w:line="240" w:lineRule="auto"/>
      </w:pPr>
      <w:r>
        <w:continuationSeparator/>
      </w:r>
    </w:p>
  </w:footnote>
  <w:footnote w:id="1">
    <w:p w14:paraId="385F03A3" w14:textId="0C89816B" w:rsidR="00985F69" w:rsidRPr="00966B5C" w:rsidRDefault="00985F69">
      <w:pPr>
        <w:pStyle w:val="FootnoteText"/>
        <w:rPr>
          <w:rFonts w:ascii="Arial" w:hAnsi="Arial" w:cs="Arial"/>
          <w:sz w:val="16"/>
          <w:szCs w:val="16"/>
        </w:rPr>
      </w:pPr>
      <w:r w:rsidRPr="00966B5C">
        <w:rPr>
          <w:rStyle w:val="FootnoteReference"/>
          <w:rFonts w:ascii="Arial" w:hAnsi="Arial" w:cs="Arial"/>
          <w:sz w:val="16"/>
          <w:szCs w:val="16"/>
        </w:rPr>
        <w:footnoteRef/>
      </w:r>
      <w:r w:rsidRPr="00966B5C">
        <w:rPr>
          <w:rFonts w:ascii="Arial" w:hAnsi="Arial" w:cs="Arial"/>
          <w:sz w:val="16"/>
          <w:szCs w:val="16"/>
        </w:rPr>
        <w:t xml:space="preserve"> Not substantially involved" shall be defined by the FI in question (commonly means that the activity concerned is ancillary to a project/client’s primary operations). This </w:t>
      </w:r>
      <w:r w:rsidR="003561F8">
        <w:rPr>
          <w:rFonts w:ascii="Arial" w:hAnsi="Arial" w:cs="Arial"/>
          <w:sz w:val="16"/>
          <w:szCs w:val="16"/>
        </w:rPr>
        <w:t>enables</w:t>
      </w:r>
      <w:r w:rsidRPr="00966B5C">
        <w:rPr>
          <w:rFonts w:ascii="Arial" w:hAnsi="Arial" w:cs="Arial"/>
          <w:sz w:val="16"/>
          <w:szCs w:val="16"/>
        </w:rPr>
        <w:t xml:space="preserve"> FI </w:t>
      </w:r>
      <w:r w:rsidR="003561F8">
        <w:rPr>
          <w:rFonts w:ascii="Arial" w:hAnsi="Arial" w:cs="Arial"/>
          <w:sz w:val="16"/>
          <w:szCs w:val="16"/>
        </w:rPr>
        <w:t xml:space="preserve">to </w:t>
      </w:r>
      <w:r w:rsidR="00B14731" w:rsidRPr="00966B5C">
        <w:rPr>
          <w:rFonts w:ascii="Arial" w:hAnsi="Arial" w:cs="Arial"/>
          <w:sz w:val="16"/>
          <w:szCs w:val="16"/>
        </w:rPr>
        <w:t xml:space="preserve">monitor </w:t>
      </w:r>
      <w:r w:rsidR="00B14731">
        <w:rPr>
          <w:rFonts w:ascii="Arial" w:hAnsi="Arial" w:cs="Arial"/>
          <w:sz w:val="16"/>
          <w:szCs w:val="16"/>
        </w:rPr>
        <w:t>whether</w:t>
      </w:r>
      <w:r w:rsidR="003561F8">
        <w:rPr>
          <w:rFonts w:ascii="Arial" w:hAnsi="Arial" w:cs="Arial"/>
          <w:sz w:val="16"/>
          <w:szCs w:val="16"/>
        </w:rPr>
        <w:t xml:space="preserve"> transactions </w:t>
      </w:r>
      <w:r w:rsidRPr="00966B5C">
        <w:rPr>
          <w:rFonts w:ascii="Arial" w:hAnsi="Arial" w:cs="Arial"/>
          <w:sz w:val="16"/>
          <w:szCs w:val="16"/>
        </w:rPr>
        <w:t xml:space="preserve">exceed the acceptable threshold during the reporting period.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2A33E" w14:textId="710DE9E5" w:rsidR="00805CFE" w:rsidRDefault="00805CFE">
    <w:pPr>
      <w:pStyle w:val="Header"/>
    </w:pPr>
    <w:r w:rsidRPr="00FB759E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DD2E3E3" wp14:editId="2598ABE8">
          <wp:simplePos x="0" y="0"/>
          <wp:positionH relativeFrom="margin">
            <wp:posOffset>8278495</wp:posOffset>
          </wp:positionH>
          <wp:positionV relativeFrom="margin">
            <wp:posOffset>-527050</wp:posOffset>
          </wp:positionV>
          <wp:extent cx="676275" cy="26797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black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6CD6"/>
    <w:multiLevelType w:val="multilevel"/>
    <w:tmpl w:val="ADC4D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4D519F"/>
    <w:multiLevelType w:val="hybridMultilevel"/>
    <w:tmpl w:val="5AE43FEC"/>
    <w:lvl w:ilvl="0" w:tplc="5D2859A4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9491B"/>
    <w:multiLevelType w:val="multilevel"/>
    <w:tmpl w:val="A348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FA180C"/>
    <w:multiLevelType w:val="multilevel"/>
    <w:tmpl w:val="151C4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78A5CBC"/>
    <w:multiLevelType w:val="hybridMultilevel"/>
    <w:tmpl w:val="50180304"/>
    <w:lvl w:ilvl="0" w:tplc="1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65F2B"/>
    <w:multiLevelType w:val="hybridMultilevel"/>
    <w:tmpl w:val="A0986A5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717"/>
    <w:multiLevelType w:val="multilevel"/>
    <w:tmpl w:val="E23245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46F8681A"/>
    <w:multiLevelType w:val="multilevel"/>
    <w:tmpl w:val="EF540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7F4AE2"/>
    <w:multiLevelType w:val="hybridMultilevel"/>
    <w:tmpl w:val="5AE43FEC"/>
    <w:lvl w:ilvl="0" w:tplc="5D2859A4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64054"/>
    <w:multiLevelType w:val="hybridMultilevel"/>
    <w:tmpl w:val="129C33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137FB"/>
    <w:multiLevelType w:val="multilevel"/>
    <w:tmpl w:val="C9BA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AAB1D79"/>
    <w:multiLevelType w:val="hybridMultilevel"/>
    <w:tmpl w:val="5AE43FEC"/>
    <w:lvl w:ilvl="0" w:tplc="5D2859A4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E4A65"/>
    <w:multiLevelType w:val="hybridMultilevel"/>
    <w:tmpl w:val="5AE43FEC"/>
    <w:lvl w:ilvl="0" w:tplc="5D2859A4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75C98"/>
    <w:multiLevelType w:val="multilevel"/>
    <w:tmpl w:val="2F74D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121C29"/>
    <w:multiLevelType w:val="hybridMultilevel"/>
    <w:tmpl w:val="104688C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458D9"/>
    <w:multiLevelType w:val="multilevel"/>
    <w:tmpl w:val="9A4A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ADB30D3"/>
    <w:multiLevelType w:val="multilevel"/>
    <w:tmpl w:val="8CBC9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684A01"/>
    <w:multiLevelType w:val="multilevel"/>
    <w:tmpl w:val="B61825A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8" w15:restartNumberingAfterBreak="0">
    <w:nsid w:val="73A307E9"/>
    <w:multiLevelType w:val="hybridMultilevel"/>
    <w:tmpl w:val="9E9AEC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472E7"/>
    <w:multiLevelType w:val="multilevel"/>
    <w:tmpl w:val="B13E39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10"/>
  </w:num>
  <w:num w:numId="16">
    <w:abstractNumId w:val="8"/>
  </w:num>
  <w:num w:numId="17">
    <w:abstractNumId w:val="0"/>
  </w:num>
  <w:num w:numId="18">
    <w:abstractNumId w:val="7"/>
  </w:num>
  <w:num w:numId="19">
    <w:abstractNumId w:val="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TU2MLAwtDA1MDBR0lEKTi0uzszPAykwrwUADl0HkywAAAA="/>
  </w:docVars>
  <w:rsids>
    <w:rsidRoot w:val="00E56C49"/>
    <w:rsid w:val="00016B04"/>
    <w:rsid w:val="0001765F"/>
    <w:rsid w:val="00022FD1"/>
    <w:rsid w:val="000324EE"/>
    <w:rsid w:val="00036B9F"/>
    <w:rsid w:val="00037ADF"/>
    <w:rsid w:val="000401CD"/>
    <w:rsid w:val="00041886"/>
    <w:rsid w:val="000442A8"/>
    <w:rsid w:val="00053D71"/>
    <w:rsid w:val="00056735"/>
    <w:rsid w:val="0007284A"/>
    <w:rsid w:val="00077BEB"/>
    <w:rsid w:val="00080939"/>
    <w:rsid w:val="000868D0"/>
    <w:rsid w:val="00093FD0"/>
    <w:rsid w:val="000A0134"/>
    <w:rsid w:val="000A1978"/>
    <w:rsid w:val="000A2951"/>
    <w:rsid w:val="000A6CA9"/>
    <w:rsid w:val="000A73A7"/>
    <w:rsid w:val="000B0695"/>
    <w:rsid w:val="000B14CF"/>
    <w:rsid w:val="000B36FE"/>
    <w:rsid w:val="000B41D9"/>
    <w:rsid w:val="000B6089"/>
    <w:rsid w:val="000B66AC"/>
    <w:rsid w:val="000B6895"/>
    <w:rsid w:val="000B7F3A"/>
    <w:rsid w:val="000C1895"/>
    <w:rsid w:val="000C261E"/>
    <w:rsid w:val="000C4C92"/>
    <w:rsid w:val="000D36FA"/>
    <w:rsid w:val="000D6C4B"/>
    <w:rsid w:val="000E6224"/>
    <w:rsid w:val="000E6604"/>
    <w:rsid w:val="000E6DED"/>
    <w:rsid w:val="000E6E98"/>
    <w:rsid w:val="000F4667"/>
    <w:rsid w:val="000F7E29"/>
    <w:rsid w:val="00110101"/>
    <w:rsid w:val="00111799"/>
    <w:rsid w:val="00114093"/>
    <w:rsid w:val="001169BB"/>
    <w:rsid w:val="00117D4C"/>
    <w:rsid w:val="001208F1"/>
    <w:rsid w:val="00130A26"/>
    <w:rsid w:val="0014157C"/>
    <w:rsid w:val="00144924"/>
    <w:rsid w:val="001472B1"/>
    <w:rsid w:val="00147F46"/>
    <w:rsid w:val="0015084B"/>
    <w:rsid w:val="00154033"/>
    <w:rsid w:val="001575DD"/>
    <w:rsid w:val="0017772F"/>
    <w:rsid w:val="00181F81"/>
    <w:rsid w:val="001878B1"/>
    <w:rsid w:val="001A405C"/>
    <w:rsid w:val="001B0B5A"/>
    <w:rsid w:val="001B1E4F"/>
    <w:rsid w:val="001B1F5E"/>
    <w:rsid w:val="001B5982"/>
    <w:rsid w:val="001C0D83"/>
    <w:rsid w:val="001C5C70"/>
    <w:rsid w:val="001C6A2D"/>
    <w:rsid w:val="001D3D1E"/>
    <w:rsid w:val="001D45B2"/>
    <w:rsid w:val="001D6CD1"/>
    <w:rsid w:val="001D75AE"/>
    <w:rsid w:val="001D799E"/>
    <w:rsid w:val="001E4927"/>
    <w:rsid w:val="001E60FA"/>
    <w:rsid w:val="001E6504"/>
    <w:rsid w:val="0020027C"/>
    <w:rsid w:val="002015FA"/>
    <w:rsid w:val="002031A0"/>
    <w:rsid w:val="00205E1E"/>
    <w:rsid w:val="00207564"/>
    <w:rsid w:val="00212386"/>
    <w:rsid w:val="00213503"/>
    <w:rsid w:val="00214EC9"/>
    <w:rsid w:val="002277E6"/>
    <w:rsid w:val="00231386"/>
    <w:rsid w:val="00232F43"/>
    <w:rsid w:val="00234BDE"/>
    <w:rsid w:val="002368D6"/>
    <w:rsid w:val="00240DC1"/>
    <w:rsid w:val="00240F58"/>
    <w:rsid w:val="00241919"/>
    <w:rsid w:val="002503B8"/>
    <w:rsid w:val="002558F2"/>
    <w:rsid w:val="002659CA"/>
    <w:rsid w:val="00267845"/>
    <w:rsid w:val="00272486"/>
    <w:rsid w:val="00277AB3"/>
    <w:rsid w:val="0028437E"/>
    <w:rsid w:val="00285C94"/>
    <w:rsid w:val="00287AB4"/>
    <w:rsid w:val="002932CF"/>
    <w:rsid w:val="00295220"/>
    <w:rsid w:val="002A4EC2"/>
    <w:rsid w:val="002A663A"/>
    <w:rsid w:val="002B4499"/>
    <w:rsid w:val="002C0559"/>
    <w:rsid w:val="002C608B"/>
    <w:rsid w:val="002C68A4"/>
    <w:rsid w:val="002F30C4"/>
    <w:rsid w:val="002F4D21"/>
    <w:rsid w:val="00300F0F"/>
    <w:rsid w:val="0030198D"/>
    <w:rsid w:val="003022CB"/>
    <w:rsid w:val="00302ED1"/>
    <w:rsid w:val="00315493"/>
    <w:rsid w:val="00320674"/>
    <w:rsid w:val="00321491"/>
    <w:rsid w:val="00341A3E"/>
    <w:rsid w:val="00343797"/>
    <w:rsid w:val="0034408A"/>
    <w:rsid w:val="00353845"/>
    <w:rsid w:val="003561F8"/>
    <w:rsid w:val="003777E8"/>
    <w:rsid w:val="00390FB9"/>
    <w:rsid w:val="00393806"/>
    <w:rsid w:val="003972C9"/>
    <w:rsid w:val="003A31E0"/>
    <w:rsid w:val="003A3C0D"/>
    <w:rsid w:val="003A7070"/>
    <w:rsid w:val="003B3291"/>
    <w:rsid w:val="003B3F88"/>
    <w:rsid w:val="003B55E4"/>
    <w:rsid w:val="003B711C"/>
    <w:rsid w:val="003B769C"/>
    <w:rsid w:val="003C046D"/>
    <w:rsid w:val="003E0136"/>
    <w:rsid w:val="003E3603"/>
    <w:rsid w:val="003E7D34"/>
    <w:rsid w:val="003F682A"/>
    <w:rsid w:val="003F7A7C"/>
    <w:rsid w:val="00401840"/>
    <w:rsid w:val="00402BDF"/>
    <w:rsid w:val="00407E9F"/>
    <w:rsid w:val="00411EE8"/>
    <w:rsid w:val="004147F3"/>
    <w:rsid w:val="00421733"/>
    <w:rsid w:val="00431004"/>
    <w:rsid w:val="004351E6"/>
    <w:rsid w:val="004416CE"/>
    <w:rsid w:val="0044551A"/>
    <w:rsid w:val="00447528"/>
    <w:rsid w:val="00447FA6"/>
    <w:rsid w:val="00455DA6"/>
    <w:rsid w:val="0046402B"/>
    <w:rsid w:val="00471F0C"/>
    <w:rsid w:val="00473F32"/>
    <w:rsid w:val="004769F3"/>
    <w:rsid w:val="00485838"/>
    <w:rsid w:val="00490C4D"/>
    <w:rsid w:val="004914CB"/>
    <w:rsid w:val="004958F1"/>
    <w:rsid w:val="00497E8C"/>
    <w:rsid w:val="004A432D"/>
    <w:rsid w:val="004B0083"/>
    <w:rsid w:val="004B0F7F"/>
    <w:rsid w:val="004C337B"/>
    <w:rsid w:val="004C395D"/>
    <w:rsid w:val="004C5F43"/>
    <w:rsid w:val="004D442A"/>
    <w:rsid w:val="004E0281"/>
    <w:rsid w:val="004E48F4"/>
    <w:rsid w:val="004E4FAC"/>
    <w:rsid w:val="004F10AF"/>
    <w:rsid w:val="004F119F"/>
    <w:rsid w:val="004F5CD0"/>
    <w:rsid w:val="004F6DFB"/>
    <w:rsid w:val="00503BED"/>
    <w:rsid w:val="00504EB0"/>
    <w:rsid w:val="00512101"/>
    <w:rsid w:val="005167AB"/>
    <w:rsid w:val="00525242"/>
    <w:rsid w:val="005312E2"/>
    <w:rsid w:val="00543274"/>
    <w:rsid w:val="0055011A"/>
    <w:rsid w:val="0055164B"/>
    <w:rsid w:val="00552C31"/>
    <w:rsid w:val="00563626"/>
    <w:rsid w:val="005650EC"/>
    <w:rsid w:val="0057481B"/>
    <w:rsid w:val="00575374"/>
    <w:rsid w:val="0058289E"/>
    <w:rsid w:val="00583209"/>
    <w:rsid w:val="005920C6"/>
    <w:rsid w:val="0059632C"/>
    <w:rsid w:val="00597DE5"/>
    <w:rsid w:val="005A6BB8"/>
    <w:rsid w:val="005B3423"/>
    <w:rsid w:val="005C0572"/>
    <w:rsid w:val="005C1B14"/>
    <w:rsid w:val="005C1F08"/>
    <w:rsid w:val="005C4282"/>
    <w:rsid w:val="005C551F"/>
    <w:rsid w:val="005D14AB"/>
    <w:rsid w:val="005D20DC"/>
    <w:rsid w:val="005D2A60"/>
    <w:rsid w:val="005E09C2"/>
    <w:rsid w:val="005E25C7"/>
    <w:rsid w:val="005E5A8E"/>
    <w:rsid w:val="005E79F5"/>
    <w:rsid w:val="005F0E6A"/>
    <w:rsid w:val="005F16CE"/>
    <w:rsid w:val="005F26BE"/>
    <w:rsid w:val="005F382A"/>
    <w:rsid w:val="005F3939"/>
    <w:rsid w:val="005F4CD7"/>
    <w:rsid w:val="006021D5"/>
    <w:rsid w:val="00602D9A"/>
    <w:rsid w:val="0060577D"/>
    <w:rsid w:val="00606FC7"/>
    <w:rsid w:val="00622E10"/>
    <w:rsid w:val="00631772"/>
    <w:rsid w:val="00635902"/>
    <w:rsid w:val="0064036C"/>
    <w:rsid w:val="006440D4"/>
    <w:rsid w:val="00646FD9"/>
    <w:rsid w:val="006558F7"/>
    <w:rsid w:val="006666D5"/>
    <w:rsid w:val="006768C9"/>
    <w:rsid w:val="00685877"/>
    <w:rsid w:val="00695060"/>
    <w:rsid w:val="006A5343"/>
    <w:rsid w:val="006A6BAE"/>
    <w:rsid w:val="006B0E86"/>
    <w:rsid w:val="006B25C3"/>
    <w:rsid w:val="006B30C0"/>
    <w:rsid w:val="006B7815"/>
    <w:rsid w:val="006C0D21"/>
    <w:rsid w:val="006C0FFF"/>
    <w:rsid w:val="006C1D86"/>
    <w:rsid w:val="006C227E"/>
    <w:rsid w:val="006C603E"/>
    <w:rsid w:val="006D3AF5"/>
    <w:rsid w:val="006E31A1"/>
    <w:rsid w:val="006E72D8"/>
    <w:rsid w:val="006F3457"/>
    <w:rsid w:val="006F3ACC"/>
    <w:rsid w:val="006F62BC"/>
    <w:rsid w:val="0070099E"/>
    <w:rsid w:val="00702F1F"/>
    <w:rsid w:val="007107D2"/>
    <w:rsid w:val="00714CB9"/>
    <w:rsid w:val="00725C4B"/>
    <w:rsid w:val="00731D22"/>
    <w:rsid w:val="007339D1"/>
    <w:rsid w:val="00735836"/>
    <w:rsid w:val="00744172"/>
    <w:rsid w:val="00747AE1"/>
    <w:rsid w:val="00747E2E"/>
    <w:rsid w:val="007567C8"/>
    <w:rsid w:val="00756A47"/>
    <w:rsid w:val="007606ED"/>
    <w:rsid w:val="00766362"/>
    <w:rsid w:val="00766675"/>
    <w:rsid w:val="0076690E"/>
    <w:rsid w:val="007708C9"/>
    <w:rsid w:val="00771357"/>
    <w:rsid w:val="007754CF"/>
    <w:rsid w:val="007915CE"/>
    <w:rsid w:val="0079318C"/>
    <w:rsid w:val="00795744"/>
    <w:rsid w:val="00796D7E"/>
    <w:rsid w:val="007A0393"/>
    <w:rsid w:val="007A3022"/>
    <w:rsid w:val="007A4AA1"/>
    <w:rsid w:val="007A7D6D"/>
    <w:rsid w:val="007B1BE0"/>
    <w:rsid w:val="007B51BF"/>
    <w:rsid w:val="007B7324"/>
    <w:rsid w:val="007C0A8A"/>
    <w:rsid w:val="007C2839"/>
    <w:rsid w:val="007C5F63"/>
    <w:rsid w:val="007D411A"/>
    <w:rsid w:val="007E2011"/>
    <w:rsid w:val="007F0ABB"/>
    <w:rsid w:val="007F3951"/>
    <w:rsid w:val="007F65ED"/>
    <w:rsid w:val="008005E9"/>
    <w:rsid w:val="00805CFE"/>
    <w:rsid w:val="00814512"/>
    <w:rsid w:val="00815607"/>
    <w:rsid w:val="00815A8A"/>
    <w:rsid w:val="008166A3"/>
    <w:rsid w:val="00816FA4"/>
    <w:rsid w:val="0081738D"/>
    <w:rsid w:val="00830F47"/>
    <w:rsid w:val="00833B7B"/>
    <w:rsid w:val="00842E2D"/>
    <w:rsid w:val="008432CA"/>
    <w:rsid w:val="008564DF"/>
    <w:rsid w:val="00857842"/>
    <w:rsid w:val="00862828"/>
    <w:rsid w:val="00864282"/>
    <w:rsid w:val="0087182D"/>
    <w:rsid w:val="00872A62"/>
    <w:rsid w:val="00873CC2"/>
    <w:rsid w:val="008761D6"/>
    <w:rsid w:val="0088276B"/>
    <w:rsid w:val="008839B1"/>
    <w:rsid w:val="0088525F"/>
    <w:rsid w:val="00895375"/>
    <w:rsid w:val="008B1F04"/>
    <w:rsid w:val="008B5075"/>
    <w:rsid w:val="008B5B90"/>
    <w:rsid w:val="008C176E"/>
    <w:rsid w:val="008C1C29"/>
    <w:rsid w:val="008C3493"/>
    <w:rsid w:val="008C7250"/>
    <w:rsid w:val="008D1B61"/>
    <w:rsid w:val="008E0E3F"/>
    <w:rsid w:val="008E162C"/>
    <w:rsid w:val="008E2D37"/>
    <w:rsid w:val="008F0F0B"/>
    <w:rsid w:val="008F153D"/>
    <w:rsid w:val="008F19AF"/>
    <w:rsid w:val="008F4573"/>
    <w:rsid w:val="008F4C5D"/>
    <w:rsid w:val="008F640D"/>
    <w:rsid w:val="00910BDB"/>
    <w:rsid w:val="0091601C"/>
    <w:rsid w:val="0092256B"/>
    <w:rsid w:val="009362CF"/>
    <w:rsid w:val="00955BDB"/>
    <w:rsid w:val="00963278"/>
    <w:rsid w:val="00966B5C"/>
    <w:rsid w:val="00971124"/>
    <w:rsid w:val="0098107F"/>
    <w:rsid w:val="00985F69"/>
    <w:rsid w:val="0098689F"/>
    <w:rsid w:val="00994D7A"/>
    <w:rsid w:val="00994E13"/>
    <w:rsid w:val="00997D87"/>
    <w:rsid w:val="009A4B91"/>
    <w:rsid w:val="009B1F0F"/>
    <w:rsid w:val="009B617D"/>
    <w:rsid w:val="009B702E"/>
    <w:rsid w:val="009C3552"/>
    <w:rsid w:val="009C4EAE"/>
    <w:rsid w:val="009D0550"/>
    <w:rsid w:val="009D160F"/>
    <w:rsid w:val="009D22CE"/>
    <w:rsid w:val="009E0059"/>
    <w:rsid w:val="009E1773"/>
    <w:rsid w:val="009E634A"/>
    <w:rsid w:val="009F34E5"/>
    <w:rsid w:val="00A035EF"/>
    <w:rsid w:val="00A05BBD"/>
    <w:rsid w:val="00A05C0F"/>
    <w:rsid w:val="00A118E4"/>
    <w:rsid w:val="00A160B3"/>
    <w:rsid w:val="00A21FAA"/>
    <w:rsid w:val="00A253B6"/>
    <w:rsid w:val="00A2736D"/>
    <w:rsid w:val="00A309EB"/>
    <w:rsid w:val="00A315FE"/>
    <w:rsid w:val="00A31B10"/>
    <w:rsid w:val="00A36697"/>
    <w:rsid w:val="00A376B7"/>
    <w:rsid w:val="00A400C4"/>
    <w:rsid w:val="00A42EA6"/>
    <w:rsid w:val="00A4434B"/>
    <w:rsid w:val="00A67744"/>
    <w:rsid w:val="00A75000"/>
    <w:rsid w:val="00A80B07"/>
    <w:rsid w:val="00A834A7"/>
    <w:rsid w:val="00A92D4F"/>
    <w:rsid w:val="00A94BEF"/>
    <w:rsid w:val="00A94F40"/>
    <w:rsid w:val="00AA1ADA"/>
    <w:rsid w:val="00AA3BF6"/>
    <w:rsid w:val="00AB24DD"/>
    <w:rsid w:val="00AB51D8"/>
    <w:rsid w:val="00AC3EC5"/>
    <w:rsid w:val="00AC719A"/>
    <w:rsid w:val="00AD0FB9"/>
    <w:rsid w:val="00AE1450"/>
    <w:rsid w:val="00AE4EAD"/>
    <w:rsid w:val="00AF5811"/>
    <w:rsid w:val="00AF794D"/>
    <w:rsid w:val="00B045D1"/>
    <w:rsid w:val="00B05973"/>
    <w:rsid w:val="00B14317"/>
    <w:rsid w:val="00B14731"/>
    <w:rsid w:val="00B15720"/>
    <w:rsid w:val="00B254F2"/>
    <w:rsid w:val="00B315D8"/>
    <w:rsid w:val="00B33896"/>
    <w:rsid w:val="00B37C92"/>
    <w:rsid w:val="00B40184"/>
    <w:rsid w:val="00B423A7"/>
    <w:rsid w:val="00B44D8E"/>
    <w:rsid w:val="00B47A4A"/>
    <w:rsid w:val="00B503A9"/>
    <w:rsid w:val="00B5326D"/>
    <w:rsid w:val="00B53435"/>
    <w:rsid w:val="00B53A13"/>
    <w:rsid w:val="00B71736"/>
    <w:rsid w:val="00B91F23"/>
    <w:rsid w:val="00B94DD8"/>
    <w:rsid w:val="00BA1BA7"/>
    <w:rsid w:val="00BA2330"/>
    <w:rsid w:val="00BA6EB5"/>
    <w:rsid w:val="00BB0E5C"/>
    <w:rsid w:val="00BB2568"/>
    <w:rsid w:val="00BB6F8F"/>
    <w:rsid w:val="00BC2FA4"/>
    <w:rsid w:val="00BD50C5"/>
    <w:rsid w:val="00BD7218"/>
    <w:rsid w:val="00BE26F6"/>
    <w:rsid w:val="00BE6459"/>
    <w:rsid w:val="00BF5A52"/>
    <w:rsid w:val="00BF7031"/>
    <w:rsid w:val="00C05380"/>
    <w:rsid w:val="00C14AFF"/>
    <w:rsid w:val="00C1584A"/>
    <w:rsid w:val="00C354B3"/>
    <w:rsid w:val="00C401A7"/>
    <w:rsid w:val="00C43908"/>
    <w:rsid w:val="00C44EBC"/>
    <w:rsid w:val="00C46A80"/>
    <w:rsid w:val="00C46C47"/>
    <w:rsid w:val="00C51160"/>
    <w:rsid w:val="00C542B2"/>
    <w:rsid w:val="00C56FB1"/>
    <w:rsid w:val="00C571F0"/>
    <w:rsid w:val="00C83CE3"/>
    <w:rsid w:val="00C86D09"/>
    <w:rsid w:val="00C8714B"/>
    <w:rsid w:val="00C875DA"/>
    <w:rsid w:val="00C92FD1"/>
    <w:rsid w:val="00CA254B"/>
    <w:rsid w:val="00CA3651"/>
    <w:rsid w:val="00CA38E4"/>
    <w:rsid w:val="00CA627D"/>
    <w:rsid w:val="00CA79D4"/>
    <w:rsid w:val="00CA7B10"/>
    <w:rsid w:val="00CB7F43"/>
    <w:rsid w:val="00CC03F3"/>
    <w:rsid w:val="00CC1B0A"/>
    <w:rsid w:val="00CE6A82"/>
    <w:rsid w:val="00CE7B59"/>
    <w:rsid w:val="00CF2777"/>
    <w:rsid w:val="00D05405"/>
    <w:rsid w:val="00D055C8"/>
    <w:rsid w:val="00D05C4C"/>
    <w:rsid w:val="00D15BC5"/>
    <w:rsid w:val="00D20CEB"/>
    <w:rsid w:val="00D212B0"/>
    <w:rsid w:val="00D228BF"/>
    <w:rsid w:val="00D27F92"/>
    <w:rsid w:val="00D332D3"/>
    <w:rsid w:val="00D349EE"/>
    <w:rsid w:val="00D36257"/>
    <w:rsid w:val="00D37791"/>
    <w:rsid w:val="00D42974"/>
    <w:rsid w:val="00D4343E"/>
    <w:rsid w:val="00D470D3"/>
    <w:rsid w:val="00D55289"/>
    <w:rsid w:val="00D6206D"/>
    <w:rsid w:val="00D623EA"/>
    <w:rsid w:val="00D74FEA"/>
    <w:rsid w:val="00D800EA"/>
    <w:rsid w:val="00D86BBE"/>
    <w:rsid w:val="00D87DC2"/>
    <w:rsid w:val="00D937CE"/>
    <w:rsid w:val="00D94A28"/>
    <w:rsid w:val="00DA47FA"/>
    <w:rsid w:val="00DA7421"/>
    <w:rsid w:val="00DB5CEA"/>
    <w:rsid w:val="00DC1F59"/>
    <w:rsid w:val="00DC3BD9"/>
    <w:rsid w:val="00DC4E52"/>
    <w:rsid w:val="00DD101F"/>
    <w:rsid w:val="00DD596E"/>
    <w:rsid w:val="00DE2EC4"/>
    <w:rsid w:val="00DE3796"/>
    <w:rsid w:val="00DE6043"/>
    <w:rsid w:val="00DF2ACE"/>
    <w:rsid w:val="00E0272B"/>
    <w:rsid w:val="00E148E9"/>
    <w:rsid w:val="00E14D9C"/>
    <w:rsid w:val="00E446B4"/>
    <w:rsid w:val="00E47E15"/>
    <w:rsid w:val="00E515BF"/>
    <w:rsid w:val="00E56C49"/>
    <w:rsid w:val="00E62A3F"/>
    <w:rsid w:val="00E66644"/>
    <w:rsid w:val="00E765FF"/>
    <w:rsid w:val="00E8049E"/>
    <w:rsid w:val="00E83D2A"/>
    <w:rsid w:val="00E97498"/>
    <w:rsid w:val="00EA70B3"/>
    <w:rsid w:val="00EA7B7A"/>
    <w:rsid w:val="00EB2BFE"/>
    <w:rsid w:val="00EB5D6E"/>
    <w:rsid w:val="00ED15B4"/>
    <w:rsid w:val="00ED7CFF"/>
    <w:rsid w:val="00ED7FB8"/>
    <w:rsid w:val="00EE0B22"/>
    <w:rsid w:val="00EE1CB1"/>
    <w:rsid w:val="00EE4B7B"/>
    <w:rsid w:val="00EE5F7C"/>
    <w:rsid w:val="00EF2511"/>
    <w:rsid w:val="00EF2A61"/>
    <w:rsid w:val="00F01ADF"/>
    <w:rsid w:val="00F03724"/>
    <w:rsid w:val="00F0535D"/>
    <w:rsid w:val="00F10F95"/>
    <w:rsid w:val="00F24082"/>
    <w:rsid w:val="00F27F3C"/>
    <w:rsid w:val="00F3222A"/>
    <w:rsid w:val="00F33925"/>
    <w:rsid w:val="00F44566"/>
    <w:rsid w:val="00F45035"/>
    <w:rsid w:val="00F5093F"/>
    <w:rsid w:val="00F52159"/>
    <w:rsid w:val="00F538EC"/>
    <w:rsid w:val="00F642FC"/>
    <w:rsid w:val="00F64499"/>
    <w:rsid w:val="00F66621"/>
    <w:rsid w:val="00F705C3"/>
    <w:rsid w:val="00F76D4A"/>
    <w:rsid w:val="00F80FB6"/>
    <w:rsid w:val="00F85680"/>
    <w:rsid w:val="00F92B9F"/>
    <w:rsid w:val="00FB131B"/>
    <w:rsid w:val="00FC22F8"/>
    <w:rsid w:val="00FC448A"/>
    <w:rsid w:val="00FC5248"/>
    <w:rsid w:val="00FD26E2"/>
    <w:rsid w:val="00FD5C43"/>
    <w:rsid w:val="00FE4CB2"/>
    <w:rsid w:val="00FF477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E0680"/>
  <w15:chartTrackingRefBased/>
  <w15:docId w15:val="{95AA4F0A-FBD9-4F47-8DFD-779976F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Casella di testo,Holis indice"/>
    <w:basedOn w:val="Normal"/>
    <w:link w:val="ListParagraphChar"/>
    <w:uiPriority w:val="34"/>
    <w:qFormat/>
    <w:rsid w:val="00805CFE"/>
    <w:pPr>
      <w:ind w:left="720"/>
      <w:contextualSpacing/>
    </w:pPr>
  </w:style>
  <w:style w:type="character" w:customStyle="1" w:styleId="ListParagraphChar">
    <w:name w:val="List Paragraph Char"/>
    <w:aliases w:val="Bullet List Char,FooterText Char,Casella di testo Char,Holis indice Char"/>
    <w:basedOn w:val="DefaultParagraphFont"/>
    <w:link w:val="ListParagraph"/>
    <w:uiPriority w:val="34"/>
    <w:locked/>
    <w:rsid w:val="00805CFE"/>
  </w:style>
  <w:style w:type="paragraph" w:styleId="Header">
    <w:name w:val="header"/>
    <w:basedOn w:val="Normal"/>
    <w:link w:val="HeaderChar"/>
    <w:uiPriority w:val="99"/>
    <w:unhideWhenUsed/>
    <w:rsid w:val="0080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FE"/>
  </w:style>
  <w:style w:type="paragraph" w:styleId="Footer">
    <w:name w:val="footer"/>
    <w:basedOn w:val="Normal"/>
    <w:link w:val="FooterChar"/>
    <w:uiPriority w:val="99"/>
    <w:unhideWhenUsed/>
    <w:rsid w:val="00805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FE"/>
  </w:style>
  <w:style w:type="character" w:styleId="CommentReference">
    <w:name w:val="annotation reference"/>
    <w:basedOn w:val="DefaultParagraphFont"/>
    <w:uiPriority w:val="99"/>
    <w:semiHidden/>
    <w:unhideWhenUsed/>
    <w:rsid w:val="0050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69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F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60208c032404629b4d3226b63133635 xmlns="870cb497-4044-4cf2-90cc-f4ae0dbc36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Social Responsibility</TermName>
          <TermId xmlns="http://schemas.microsoft.com/office/infopath/2007/PartnerControls">33ad2915-8861-4337-ac5a-5f7bdfeb2377</TermId>
        </TermInfo>
      </Terms>
    </e60208c032404629b4d3226b63133635>
    <TaxCatchAll xmlns="870cb497-4044-4cf2-90cc-f4ae0dbc3665">
      <Value>33</Value>
    </TaxCatchAll>
    <m84d7c7f63cb451b899bccc83df50b61 xmlns="870cb497-4044-4cf2-90cc-f4ae0dbc3665">
      <Terms xmlns="http://schemas.microsoft.com/office/infopath/2007/PartnerControls"/>
    </m84d7c7f63cb451b899bccc83df50b6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C7A8DD8FE7C45B8EC80E9A093EEDE" ma:contentTypeVersion="4" ma:contentTypeDescription="Create a new document." ma:contentTypeScope="" ma:versionID="a090791e70de81ae6f705355640ca45c">
  <xsd:schema xmlns:xsd="http://www.w3.org/2001/XMLSchema" xmlns:xs="http://www.w3.org/2001/XMLSchema" xmlns:p="http://schemas.microsoft.com/office/2006/metadata/properties" xmlns:ns2="870cb497-4044-4cf2-90cc-f4ae0dbc3665" xmlns:ns3="1931f4e8-2f40-4384-a90e-574fbe220c6b" targetNamespace="http://schemas.microsoft.com/office/2006/metadata/properties" ma:root="true" ma:fieldsID="8bc3b33783593334b9d68fe0e7471b61" ns2:_="" ns3:_="">
    <xsd:import namespace="870cb497-4044-4cf2-90cc-f4ae0dbc3665"/>
    <xsd:import namespace="1931f4e8-2f40-4384-a90e-574fbe220c6b"/>
    <xsd:element name="properties">
      <xsd:complexType>
        <xsd:sequence>
          <xsd:element name="documentManagement">
            <xsd:complexType>
              <xsd:all>
                <xsd:element ref="ns2:m84d7c7f63cb451b899bccc83df50b61" minOccurs="0"/>
                <xsd:element ref="ns2:TaxCatchAll" minOccurs="0"/>
                <xsd:element ref="ns2:TaxCatchAllLabel" minOccurs="0"/>
                <xsd:element ref="ns2:e60208c032404629b4d3226b63133635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b497-4044-4cf2-90cc-f4ae0dbc3665" elementFormDefault="qualified">
    <xsd:import namespace="http://schemas.microsoft.com/office/2006/documentManagement/types"/>
    <xsd:import namespace="http://schemas.microsoft.com/office/infopath/2007/PartnerControls"/>
    <xsd:element name="m84d7c7f63cb451b899bccc83df50b61" ma:index="8" nillable="true" ma:taxonomy="true" ma:internalName="m84d7c7f63cb451b899bccc83df50b61" ma:taxonomyFieldName="CDCDocumentType" ma:displayName="Document Type" ma:default="" ma:fieldId="{684d7c7f-63cb-451b-899b-ccc83df50b61}" ma:sspId="a5800705-6cab-460c-b450-fee685b6c533" ma:termSetId="9f4130ef-8c5c-407c-aa7b-8c88a3643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bfd7f20-e017-4127-9f61-fe49932a1126}" ma:internalName="TaxCatchAll" ma:showField="CatchAllData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bfd7f20-e017-4127-9f61-fe49932a1126}" ma:internalName="TaxCatchAllLabel" ma:readOnly="true" ma:showField="CatchAllDataLabel" ma:web="2b16538c-59ea-4e35-9e08-52b56f737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208c032404629b4d3226b63133635" ma:index="12" nillable="true" ma:taxonomy="true" ma:internalName="e60208c032404629b4d3226b63133635" ma:taxonomyFieldName="CDCRelateTo" ma:displayName="Relates To" ma:default="33;#Environmental and Social Responsibility|33ad2915-8861-4337-ac5a-5f7bdfeb2377" ma:fieldId="{e60208c0-3240-4629-b4d3-226b63133635}" ma:taxonomyMulti="true" ma:sspId="a5800705-6cab-460c-b450-fee685b6c533" ma:termSetId="393c547d-ea85-45f5-81e1-f49dc26bf6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1f4e8-2f40-4384-a90e-574fbe22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5800705-6cab-460c-b450-fee685b6c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E891-9B99-4A42-AAFC-1E197DFDB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5C313-5CFC-45C5-B98C-4FFCE70881CF}">
  <ds:schemaRefs>
    <ds:schemaRef ds:uri="http://schemas.microsoft.com/office/2006/metadata/properties"/>
    <ds:schemaRef ds:uri="http://schemas.microsoft.com/office/infopath/2007/PartnerControls"/>
    <ds:schemaRef ds:uri="870cb497-4044-4cf2-90cc-f4ae0dbc3665"/>
  </ds:schemaRefs>
</ds:datastoreItem>
</file>

<file path=customXml/itemProps3.xml><?xml version="1.0" encoding="utf-8"?>
<ds:datastoreItem xmlns:ds="http://schemas.openxmlformats.org/officeDocument/2006/customXml" ds:itemID="{C6380287-1DB0-4C6B-AE1B-AAADFAB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b497-4044-4cf2-90cc-f4ae0dbc3665"/>
    <ds:schemaRef ds:uri="1931f4e8-2f40-4384-a90e-574fbe22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209FF-5713-499B-87E6-296AE2FC2B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D0FCFEC-AD70-4B24-9D77-9DF81DDD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Kotze</dc:creator>
  <cp:keywords/>
  <dc:description/>
  <cp:lastModifiedBy>Banji Jackson-Oke</cp:lastModifiedBy>
  <cp:revision>3</cp:revision>
  <dcterms:created xsi:type="dcterms:W3CDTF">2021-06-10T20:01:00Z</dcterms:created>
  <dcterms:modified xsi:type="dcterms:W3CDTF">2021-06-10T20:09:00Z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0x0101007FFC7A8DD8FE7C45B8EC80E9A093EEDE</vt:lpwstr>
  </property>
  <property fmtid="{D5CDD505-2E9C-101B-9397-08002B2CF9AE}" pid="3" name="CDCRelateTo">
    <vt:lpwstr>33;#Environmental and Social Responsibility|33ad2915-8861-4337-ac5a-5f7bdfeb2377</vt:lpwstr>
  </property>
  <property fmtid="{D5CDD505-2E9C-101B-9397-08002B2CF9AE}" pid="4" name="CDCDocumentType">
    <vt:lpwstr/>
  </property>
</Properties>
</file>