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1405D" w14:textId="21710C0A" w:rsidR="003D7AB9" w:rsidRPr="00962F8F" w:rsidRDefault="00DB7933" w:rsidP="003D7AB9">
      <w:pPr>
        <w:jc w:val="center"/>
        <w:rPr>
          <w:rFonts w:ascii="Georgia" w:hAnsi="Georgia" w:cs="Arial"/>
          <w:b/>
        </w:rPr>
      </w:pPr>
      <w:r w:rsidRPr="00962F8F">
        <w:rPr>
          <w:rFonts w:ascii="Georgia" w:hAnsi="Georgia" w:cs="Arial"/>
          <w:b/>
        </w:rPr>
        <w:t xml:space="preserve">CDC </w:t>
      </w:r>
      <w:r w:rsidR="003D7AB9" w:rsidRPr="00962F8F">
        <w:rPr>
          <w:rFonts w:ascii="Georgia" w:hAnsi="Georgia" w:cs="Arial"/>
          <w:b/>
        </w:rPr>
        <w:t>ENVIRONMENTAL AND SOCIAL</w:t>
      </w:r>
      <w:r w:rsidR="00836FFF" w:rsidRPr="00962F8F">
        <w:rPr>
          <w:rFonts w:ascii="Georgia" w:hAnsi="Georgia" w:cs="Arial"/>
          <w:b/>
        </w:rPr>
        <w:t xml:space="preserve"> TRANSACTION SCREENING</w:t>
      </w:r>
      <w:r w:rsidR="005E457B" w:rsidRPr="00962F8F">
        <w:rPr>
          <w:rFonts w:ascii="Georgia" w:hAnsi="Georgia" w:cs="Arial"/>
          <w:b/>
        </w:rPr>
        <w:t xml:space="preserve"> </w:t>
      </w:r>
      <w:r w:rsidR="003D7AB9" w:rsidRPr="00962F8F">
        <w:rPr>
          <w:rFonts w:ascii="Georgia" w:hAnsi="Georgia" w:cs="Arial"/>
          <w:b/>
        </w:rPr>
        <w:t>CHECKLIST</w:t>
      </w:r>
      <w:r w:rsidR="00E136A1" w:rsidRPr="00962F8F">
        <w:rPr>
          <w:rFonts w:ascii="Georgia" w:hAnsi="Georgia" w:cs="Arial"/>
          <w:b/>
        </w:rPr>
        <w:t xml:space="preserve"> FOR FINANCIAL INSTITUTIONS</w:t>
      </w:r>
    </w:p>
    <w:p w14:paraId="193F0D99" w14:textId="77777777" w:rsidR="003D7AB9" w:rsidRPr="00962F8F" w:rsidRDefault="003D7AB9" w:rsidP="00CB0D80">
      <w:pPr>
        <w:rPr>
          <w:rFonts w:ascii="Georgia" w:hAnsi="Georgia" w:cs="Arial"/>
          <w:b/>
        </w:rPr>
      </w:pPr>
    </w:p>
    <w:p w14:paraId="22F969F2" w14:textId="77777777" w:rsidR="00A17B05" w:rsidRPr="00962F8F" w:rsidRDefault="00A17B05" w:rsidP="00CB0D80">
      <w:pPr>
        <w:rPr>
          <w:rFonts w:ascii="Georgia" w:hAnsi="Georgia" w:cs="Arial"/>
          <w:b/>
          <w:sz w:val="20"/>
          <w:szCs w:val="20"/>
        </w:rPr>
      </w:pPr>
      <w:r w:rsidRPr="00962F8F">
        <w:rPr>
          <w:rFonts w:ascii="Georgia" w:hAnsi="Georgia" w:cs="Arial"/>
          <w:b/>
          <w:sz w:val="20"/>
          <w:szCs w:val="20"/>
        </w:rPr>
        <w:t>Introduction</w:t>
      </w:r>
    </w:p>
    <w:p w14:paraId="556227B4" w14:textId="0EAC6DCA" w:rsidR="00A17B05" w:rsidRPr="00962F8F" w:rsidRDefault="00E55CDE" w:rsidP="00CB0D80">
      <w:pPr>
        <w:rPr>
          <w:rFonts w:ascii="Georgia" w:hAnsi="Georgia" w:cs="Arial"/>
          <w:sz w:val="20"/>
          <w:szCs w:val="20"/>
        </w:rPr>
      </w:pPr>
      <w:r w:rsidRPr="00962F8F">
        <w:rPr>
          <w:rFonts w:ascii="Georgia" w:hAnsi="Georgia" w:cs="Arial"/>
          <w:sz w:val="20"/>
          <w:szCs w:val="20"/>
        </w:rPr>
        <w:t>This c</w:t>
      </w:r>
      <w:r w:rsidR="00A17B05" w:rsidRPr="00962F8F">
        <w:rPr>
          <w:rFonts w:ascii="Georgia" w:hAnsi="Georgia" w:cs="Arial"/>
          <w:sz w:val="20"/>
          <w:szCs w:val="20"/>
        </w:rPr>
        <w:t xml:space="preserve">hecklist supports </w:t>
      </w:r>
      <w:r w:rsidR="005E457B" w:rsidRPr="00962F8F">
        <w:rPr>
          <w:rFonts w:ascii="Georgia" w:hAnsi="Georgia" w:cs="Arial"/>
          <w:sz w:val="20"/>
          <w:szCs w:val="20"/>
        </w:rPr>
        <w:t xml:space="preserve">the </w:t>
      </w:r>
      <w:r w:rsidR="00A17B05" w:rsidRPr="00962F8F">
        <w:rPr>
          <w:rFonts w:ascii="Georgia" w:hAnsi="Georgia" w:cs="Arial"/>
          <w:sz w:val="20"/>
          <w:szCs w:val="20"/>
        </w:rPr>
        <w:t>CDC Sector Profiles</w:t>
      </w:r>
      <w:r w:rsidR="005E457B" w:rsidRPr="00962F8F">
        <w:rPr>
          <w:rFonts w:ascii="Georgia" w:hAnsi="Georgia" w:cs="Arial"/>
          <w:color w:val="FF0000"/>
          <w:sz w:val="20"/>
          <w:szCs w:val="20"/>
        </w:rPr>
        <w:t xml:space="preserve"> </w:t>
      </w:r>
      <w:r w:rsidR="005E457B" w:rsidRPr="00962F8F">
        <w:rPr>
          <w:rFonts w:ascii="Georgia" w:hAnsi="Georgia" w:cs="Arial"/>
          <w:sz w:val="20"/>
          <w:szCs w:val="20"/>
        </w:rPr>
        <w:t>and should be used in conjunction with them</w:t>
      </w:r>
      <w:r w:rsidR="00FB759E" w:rsidRPr="00962F8F">
        <w:rPr>
          <w:rFonts w:ascii="Georgia" w:hAnsi="Georgia" w:cs="Arial"/>
          <w:sz w:val="20"/>
          <w:szCs w:val="20"/>
        </w:rPr>
        <w:t xml:space="preserve"> and, where appropriate, the relevant E&amp;S </w:t>
      </w:r>
      <w:r w:rsidR="004C5DA9" w:rsidRPr="00962F8F">
        <w:rPr>
          <w:rFonts w:ascii="Georgia" w:hAnsi="Georgia" w:cs="Arial"/>
          <w:sz w:val="20"/>
          <w:szCs w:val="20"/>
        </w:rPr>
        <w:t>Topics</w:t>
      </w:r>
      <w:r w:rsidR="00A17B05" w:rsidRPr="00962F8F">
        <w:rPr>
          <w:rFonts w:ascii="Georgia" w:hAnsi="Georgia" w:cs="Arial"/>
          <w:sz w:val="20"/>
          <w:szCs w:val="20"/>
        </w:rPr>
        <w:t xml:space="preserve">. </w:t>
      </w:r>
      <w:r w:rsidR="00CF479A" w:rsidRPr="00962F8F">
        <w:rPr>
          <w:rFonts w:ascii="Georgia" w:hAnsi="Georgia" w:cs="Arial"/>
          <w:sz w:val="20"/>
          <w:szCs w:val="20"/>
        </w:rPr>
        <w:t>It aims</w:t>
      </w:r>
      <w:r w:rsidR="000374F4" w:rsidRPr="00962F8F">
        <w:rPr>
          <w:rFonts w:ascii="Georgia" w:hAnsi="Georgia" w:cs="Arial"/>
          <w:sz w:val="20"/>
          <w:szCs w:val="20"/>
        </w:rPr>
        <w:t xml:space="preserve"> to provide guid</w:t>
      </w:r>
      <w:r w:rsidR="00A17B05" w:rsidRPr="00962F8F">
        <w:rPr>
          <w:rFonts w:ascii="Georgia" w:hAnsi="Georgia" w:cs="Arial"/>
          <w:sz w:val="20"/>
          <w:szCs w:val="20"/>
        </w:rPr>
        <w:t xml:space="preserve">ance for </w:t>
      </w:r>
      <w:r w:rsidR="00C36812" w:rsidRPr="00962F8F">
        <w:rPr>
          <w:rFonts w:ascii="Georgia" w:hAnsi="Georgia" w:cs="Arial"/>
          <w:sz w:val="20"/>
          <w:szCs w:val="20"/>
        </w:rPr>
        <w:t>Financial Institutions</w:t>
      </w:r>
      <w:r w:rsidR="00806786" w:rsidRPr="00962F8F">
        <w:rPr>
          <w:rFonts w:ascii="Georgia" w:hAnsi="Georgia" w:cs="Arial"/>
          <w:sz w:val="20"/>
          <w:szCs w:val="20"/>
        </w:rPr>
        <w:t xml:space="preserve"> (FIs)</w:t>
      </w:r>
      <w:r w:rsidR="00A17B05" w:rsidRPr="00962F8F">
        <w:rPr>
          <w:rFonts w:ascii="Georgia" w:hAnsi="Georgia" w:cs="Arial"/>
          <w:sz w:val="20"/>
          <w:szCs w:val="20"/>
        </w:rPr>
        <w:t xml:space="preserve"> on the key </w:t>
      </w:r>
      <w:r w:rsidR="00CF479A" w:rsidRPr="00962F8F">
        <w:rPr>
          <w:rFonts w:ascii="Georgia" w:hAnsi="Georgia" w:cs="Arial"/>
          <w:sz w:val="20"/>
          <w:szCs w:val="20"/>
        </w:rPr>
        <w:t>potential e</w:t>
      </w:r>
      <w:r w:rsidR="00BC4EA0" w:rsidRPr="00962F8F">
        <w:rPr>
          <w:rFonts w:ascii="Georgia" w:hAnsi="Georgia" w:cs="Arial"/>
          <w:sz w:val="20"/>
          <w:szCs w:val="20"/>
        </w:rPr>
        <w:t xml:space="preserve">nvironmental and </w:t>
      </w:r>
      <w:r w:rsidR="00CF479A" w:rsidRPr="00962F8F">
        <w:rPr>
          <w:rFonts w:ascii="Georgia" w:hAnsi="Georgia" w:cs="Arial"/>
          <w:sz w:val="20"/>
          <w:szCs w:val="20"/>
        </w:rPr>
        <w:t>s</w:t>
      </w:r>
      <w:r w:rsidR="00BC4EA0" w:rsidRPr="00962F8F">
        <w:rPr>
          <w:rFonts w:ascii="Georgia" w:hAnsi="Georgia" w:cs="Arial"/>
          <w:sz w:val="20"/>
          <w:szCs w:val="20"/>
        </w:rPr>
        <w:t>ocial (</w:t>
      </w:r>
      <w:r w:rsidR="00A17B05" w:rsidRPr="00962F8F">
        <w:rPr>
          <w:rFonts w:ascii="Georgia" w:hAnsi="Georgia" w:cs="Arial"/>
          <w:sz w:val="20"/>
          <w:szCs w:val="20"/>
        </w:rPr>
        <w:t>E&amp;S</w:t>
      </w:r>
      <w:r w:rsidR="00BC4EA0" w:rsidRPr="00962F8F">
        <w:rPr>
          <w:rFonts w:ascii="Georgia" w:hAnsi="Georgia" w:cs="Arial"/>
          <w:sz w:val="20"/>
          <w:szCs w:val="20"/>
        </w:rPr>
        <w:t xml:space="preserve">) </w:t>
      </w:r>
      <w:r w:rsidR="00CF479A" w:rsidRPr="00962F8F">
        <w:rPr>
          <w:rFonts w:ascii="Georgia" w:hAnsi="Georgia" w:cs="Arial"/>
          <w:sz w:val="20"/>
          <w:szCs w:val="20"/>
        </w:rPr>
        <w:t xml:space="preserve">aspects </w:t>
      </w:r>
      <w:r w:rsidR="00C36812" w:rsidRPr="00962F8F">
        <w:rPr>
          <w:rFonts w:ascii="Georgia" w:hAnsi="Georgia" w:cs="Arial"/>
          <w:sz w:val="20"/>
          <w:szCs w:val="20"/>
        </w:rPr>
        <w:t xml:space="preserve">associated with a prospective transaction </w:t>
      </w:r>
      <w:r w:rsidR="005E457B" w:rsidRPr="00962F8F">
        <w:rPr>
          <w:rFonts w:ascii="Georgia" w:hAnsi="Georgia" w:cs="Arial"/>
          <w:sz w:val="20"/>
          <w:szCs w:val="20"/>
        </w:rPr>
        <w:t xml:space="preserve">that </w:t>
      </w:r>
      <w:r w:rsidR="00C36812" w:rsidRPr="00962F8F">
        <w:rPr>
          <w:rFonts w:ascii="Georgia" w:hAnsi="Georgia" w:cs="Arial"/>
          <w:sz w:val="20"/>
          <w:szCs w:val="20"/>
        </w:rPr>
        <w:t xml:space="preserve">should be </w:t>
      </w:r>
      <w:r w:rsidR="002F15A6" w:rsidRPr="00962F8F">
        <w:rPr>
          <w:rFonts w:ascii="Georgia" w:hAnsi="Georgia" w:cs="Arial"/>
          <w:sz w:val="20"/>
          <w:szCs w:val="20"/>
        </w:rPr>
        <w:t xml:space="preserve">assessed </w:t>
      </w:r>
      <w:r w:rsidR="00C36812" w:rsidRPr="00962F8F">
        <w:rPr>
          <w:rFonts w:ascii="Georgia" w:hAnsi="Georgia" w:cs="Arial"/>
          <w:sz w:val="20"/>
          <w:szCs w:val="20"/>
        </w:rPr>
        <w:t>during the screening stage of the transaction cycle</w:t>
      </w:r>
      <w:r w:rsidR="00D24D09" w:rsidRPr="00962F8F">
        <w:rPr>
          <w:rFonts w:ascii="Georgia" w:hAnsi="Georgia" w:cs="Arial"/>
          <w:sz w:val="20"/>
          <w:szCs w:val="20"/>
        </w:rPr>
        <w:t xml:space="preserve"> to inform the decisions around how to structure the E&amp;S due diligence.</w:t>
      </w:r>
    </w:p>
    <w:p w14:paraId="319A0679" w14:textId="77777777" w:rsidR="00D95B13" w:rsidRPr="00962F8F" w:rsidRDefault="00D95B13" w:rsidP="00D95B13">
      <w:pPr>
        <w:rPr>
          <w:rFonts w:ascii="Georgia" w:hAnsi="Georgia" w:cs="Arial"/>
          <w:b/>
          <w:sz w:val="20"/>
          <w:szCs w:val="20"/>
        </w:rPr>
      </w:pPr>
      <w:r w:rsidRPr="00962F8F">
        <w:rPr>
          <w:rFonts w:ascii="Georgia" w:hAnsi="Georgia" w:cs="Arial"/>
          <w:b/>
          <w:sz w:val="20"/>
          <w:szCs w:val="20"/>
        </w:rPr>
        <w:t>Important</w:t>
      </w:r>
    </w:p>
    <w:p w14:paraId="7CF720E0" w14:textId="1610658A" w:rsidR="00D95B13" w:rsidRPr="00962F8F" w:rsidRDefault="00D95B13" w:rsidP="00D95B13">
      <w:pPr>
        <w:rPr>
          <w:rFonts w:ascii="Georgia" w:hAnsi="Georgia" w:cs="Arial"/>
          <w:sz w:val="20"/>
          <w:szCs w:val="20"/>
        </w:rPr>
      </w:pPr>
      <w:r w:rsidRPr="00962F8F">
        <w:rPr>
          <w:rFonts w:ascii="Georgia" w:hAnsi="Georgia" w:cs="Arial"/>
          <w:sz w:val="20"/>
          <w:szCs w:val="20"/>
        </w:rPr>
        <w:t>This checklist provides a gener</w:t>
      </w:r>
      <w:r w:rsidR="005E457B" w:rsidRPr="00962F8F">
        <w:rPr>
          <w:rFonts w:ascii="Georgia" w:hAnsi="Georgia" w:cs="Arial"/>
          <w:sz w:val="20"/>
          <w:szCs w:val="20"/>
        </w:rPr>
        <w:t>al</w:t>
      </w:r>
      <w:r w:rsidRPr="00962F8F">
        <w:rPr>
          <w:rFonts w:ascii="Georgia" w:hAnsi="Georgia" w:cs="Arial"/>
          <w:sz w:val="20"/>
          <w:szCs w:val="20"/>
        </w:rPr>
        <w:t xml:space="preserve"> overview of typical E&amp;S </w:t>
      </w:r>
      <w:r w:rsidR="00806786" w:rsidRPr="00962F8F">
        <w:rPr>
          <w:rFonts w:ascii="Georgia" w:hAnsi="Georgia" w:cs="Arial"/>
          <w:sz w:val="20"/>
          <w:szCs w:val="20"/>
        </w:rPr>
        <w:t>topics/</w:t>
      </w:r>
      <w:r w:rsidRPr="00962F8F">
        <w:rPr>
          <w:rFonts w:ascii="Georgia" w:hAnsi="Georgia" w:cs="Arial"/>
          <w:sz w:val="20"/>
          <w:szCs w:val="20"/>
        </w:rPr>
        <w:t>issues</w:t>
      </w:r>
      <w:r w:rsidR="005E457B" w:rsidRPr="00962F8F">
        <w:rPr>
          <w:rFonts w:ascii="Georgia" w:hAnsi="Georgia" w:cs="Arial"/>
          <w:sz w:val="20"/>
          <w:szCs w:val="20"/>
        </w:rPr>
        <w:t xml:space="preserve"> which may be encountered </w:t>
      </w:r>
      <w:r w:rsidR="00410494" w:rsidRPr="00962F8F">
        <w:rPr>
          <w:rFonts w:ascii="Georgia" w:hAnsi="Georgia" w:cs="Arial"/>
          <w:sz w:val="20"/>
          <w:szCs w:val="20"/>
        </w:rPr>
        <w:t>for a particular client</w:t>
      </w:r>
      <w:r w:rsidR="00FB4AA9" w:rsidRPr="00962F8F">
        <w:rPr>
          <w:rFonts w:ascii="Georgia" w:hAnsi="Georgia" w:cs="Arial"/>
          <w:sz w:val="20"/>
          <w:szCs w:val="20"/>
        </w:rPr>
        <w:t>’s</w:t>
      </w:r>
      <w:r w:rsidR="00410494" w:rsidRPr="00962F8F">
        <w:rPr>
          <w:rFonts w:ascii="Georgia" w:hAnsi="Georgia" w:cs="Arial"/>
          <w:sz w:val="20"/>
          <w:szCs w:val="20"/>
        </w:rPr>
        <w:t xml:space="preserve"> business or project</w:t>
      </w:r>
      <w:r w:rsidR="005E457B" w:rsidRPr="00962F8F">
        <w:rPr>
          <w:rFonts w:ascii="Georgia" w:hAnsi="Georgia" w:cs="Arial"/>
          <w:sz w:val="20"/>
          <w:szCs w:val="20"/>
        </w:rPr>
        <w:t xml:space="preserve">. </w:t>
      </w:r>
      <w:r w:rsidRPr="00962F8F">
        <w:rPr>
          <w:rFonts w:ascii="Georgia" w:hAnsi="Georgia" w:cs="Arial"/>
          <w:sz w:val="20"/>
          <w:szCs w:val="20"/>
        </w:rPr>
        <w:t xml:space="preserve"> </w:t>
      </w:r>
      <w:r w:rsidR="005E457B" w:rsidRPr="00962F8F">
        <w:rPr>
          <w:rFonts w:ascii="Georgia" w:hAnsi="Georgia" w:cs="Arial"/>
          <w:sz w:val="20"/>
          <w:szCs w:val="20"/>
        </w:rPr>
        <w:t>However</w:t>
      </w:r>
      <w:r w:rsidR="00410494" w:rsidRPr="00962F8F">
        <w:rPr>
          <w:rFonts w:ascii="Georgia" w:hAnsi="Georgia" w:cs="Arial"/>
          <w:sz w:val="20"/>
          <w:szCs w:val="20"/>
        </w:rPr>
        <w:t>,</w:t>
      </w:r>
      <w:r w:rsidR="005E457B" w:rsidRPr="00962F8F">
        <w:rPr>
          <w:rFonts w:ascii="Georgia" w:hAnsi="Georgia" w:cs="Arial"/>
          <w:sz w:val="20"/>
          <w:szCs w:val="20"/>
        </w:rPr>
        <w:t xml:space="preserve"> it is important to assess every </w:t>
      </w:r>
      <w:r w:rsidR="00410494" w:rsidRPr="00962F8F">
        <w:rPr>
          <w:rFonts w:ascii="Georgia" w:hAnsi="Georgia" w:cs="Arial"/>
          <w:sz w:val="20"/>
          <w:szCs w:val="20"/>
        </w:rPr>
        <w:t xml:space="preserve">new </w:t>
      </w:r>
      <w:r w:rsidR="00C36812" w:rsidRPr="00962F8F">
        <w:rPr>
          <w:rFonts w:ascii="Georgia" w:hAnsi="Georgia" w:cs="Arial"/>
          <w:sz w:val="20"/>
          <w:szCs w:val="20"/>
        </w:rPr>
        <w:t xml:space="preserve">transaction </w:t>
      </w:r>
      <w:r w:rsidR="005E457B" w:rsidRPr="00962F8F">
        <w:rPr>
          <w:rFonts w:ascii="Georgia" w:hAnsi="Georgia" w:cs="Arial"/>
          <w:sz w:val="20"/>
          <w:szCs w:val="20"/>
        </w:rPr>
        <w:t>based on its own specific circumstances and risk factors including</w:t>
      </w:r>
      <w:r w:rsidR="00C36812" w:rsidRPr="00962F8F">
        <w:rPr>
          <w:rFonts w:ascii="Georgia" w:hAnsi="Georgia" w:cs="Arial"/>
          <w:sz w:val="20"/>
          <w:szCs w:val="20"/>
        </w:rPr>
        <w:t xml:space="preserve"> </w:t>
      </w:r>
      <w:r w:rsidR="00806786" w:rsidRPr="00962F8F">
        <w:rPr>
          <w:rFonts w:ascii="Georgia" w:hAnsi="Georgia" w:cs="Arial"/>
          <w:sz w:val="20"/>
          <w:szCs w:val="20"/>
        </w:rPr>
        <w:t xml:space="preserve">the </w:t>
      </w:r>
      <w:r w:rsidR="00C36812" w:rsidRPr="00962F8F">
        <w:rPr>
          <w:rFonts w:ascii="Georgia" w:hAnsi="Georgia" w:cs="Arial"/>
          <w:sz w:val="20"/>
          <w:szCs w:val="20"/>
        </w:rPr>
        <w:t xml:space="preserve">type of financing, </w:t>
      </w:r>
      <w:r w:rsidR="005E457B" w:rsidRPr="00962F8F">
        <w:rPr>
          <w:rFonts w:ascii="Georgia" w:hAnsi="Georgia" w:cs="Arial"/>
          <w:sz w:val="20"/>
          <w:szCs w:val="20"/>
        </w:rPr>
        <w:t xml:space="preserve">main business </w:t>
      </w:r>
      <w:r w:rsidR="00107150" w:rsidRPr="00962F8F">
        <w:rPr>
          <w:rFonts w:ascii="Georgia" w:hAnsi="Georgia" w:cs="Arial"/>
          <w:sz w:val="20"/>
          <w:szCs w:val="20"/>
        </w:rPr>
        <w:t>activities, scale of operation, technology</w:t>
      </w:r>
      <w:r w:rsidR="005E457B" w:rsidRPr="00962F8F">
        <w:rPr>
          <w:rFonts w:ascii="Georgia" w:hAnsi="Georgia" w:cs="Arial"/>
          <w:sz w:val="20"/>
          <w:szCs w:val="20"/>
        </w:rPr>
        <w:t>,</w:t>
      </w:r>
      <w:r w:rsidR="00107150" w:rsidRPr="00962F8F">
        <w:rPr>
          <w:rFonts w:ascii="Georgia" w:hAnsi="Georgia" w:cs="Arial"/>
          <w:sz w:val="20"/>
          <w:szCs w:val="20"/>
        </w:rPr>
        <w:t xml:space="preserve"> location</w:t>
      </w:r>
      <w:r w:rsidR="005E457B" w:rsidRPr="00962F8F">
        <w:rPr>
          <w:rFonts w:ascii="Georgia" w:hAnsi="Georgia" w:cs="Arial"/>
          <w:sz w:val="20"/>
          <w:szCs w:val="20"/>
        </w:rPr>
        <w:t xml:space="preserve">, </w:t>
      </w:r>
      <w:r w:rsidR="000379BE" w:rsidRPr="00962F8F">
        <w:rPr>
          <w:rFonts w:ascii="Georgia" w:hAnsi="Georgia" w:cs="Arial"/>
          <w:sz w:val="20"/>
          <w:szCs w:val="20"/>
        </w:rPr>
        <w:t xml:space="preserve">as well as </w:t>
      </w:r>
      <w:r w:rsidR="00C36812" w:rsidRPr="00962F8F">
        <w:rPr>
          <w:rFonts w:ascii="Georgia" w:hAnsi="Georgia" w:cs="Arial"/>
          <w:sz w:val="20"/>
          <w:szCs w:val="20"/>
        </w:rPr>
        <w:t xml:space="preserve">the client’s </w:t>
      </w:r>
      <w:r w:rsidR="00107150" w:rsidRPr="00962F8F">
        <w:rPr>
          <w:rFonts w:ascii="Georgia" w:hAnsi="Georgia" w:cs="Arial"/>
          <w:sz w:val="20"/>
          <w:szCs w:val="20"/>
        </w:rPr>
        <w:t>commitment capacity and track record</w:t>
      </w:r>
      <w:r w:rsidRPr="00962F8F">
        <w:rPr>
          <w:rFonts w:ascii="Georgia" w:hAnsi="Georgia" w:cs="Arial"/>
          <w:sz w:val="20"/>
          <w:szCs w:val="20"/>
        </w:rPr>
        <w:t xml:space="preserve">. For example, depending on the </w:t>
      </w:r>
      <w:r w:rsidR="00806786" w:rsidRPr="00962F8F">
        <w:rPr>
          <w:rFonts w:ascii="Georgia" w:hAnsi="Georgia" w:cs="Arial"/>
          <w:sz w:val="20"/>
          <w:szCs w:val="20"/>
        </w:rPr>
        <w:t>clients</w:t>
      </w:r>
      <w:r w:rsidR="00FB4AA9" w:rsidRPr="00962F8F">
        <w:rPr>
          <w:rFonts w:ascii="Georgia" w:hAnsi="Georgia" w:cs="Arial"/>
          <w:sz w:val="20"/>
          <w:szCs w:val="20"/>
        </w:rPr>
        <w:t>’</w:t>
      </w:r>
      <w:r w:rsidR="00806786" w:rsidRPr="00962F8F">
        <w:rPr>
          <w:rFonts w:ascii="Georgia" w:hAnsi="Georgia" w:cs="Arial"/>
          <w:sz w:val="20"/>
          <w:szCs w:val="20"/>
        </w:rPr>
        <w:t>/projects</w:t>
      </w:r>
      <w:r w:rsidR="00FB4AA9" w:rsidRPr="00962F8F">
        <w:rPr>
          <w:rFonts w:ascii="Georgia" w:hAnsi="Georgia" w:cs="Arial"/>
          <w:sz w:val="20"/>
          <w:szCs w:val="20"/>
        </w:rPr>
        <w:t>’</w:t>
      </w:r>
      <w:r w:rsidR="00806786" w:rsidRPr="00962F8F">
        <w:rPr>
          <w:rFonts w:ascii="Georgia" w:hAnsi="Georgia" w:cs="Arial"/>
          <w:sz w:val="20"/>
          <w:szCs w:val="20"/>
        </w:rPr>
        <w:t xml:space="preserve"> </w:t>
      </w:r>
      <w:r w:rsidRPr="00962F8F">
        <w:rPr>
          <w:rFonts w:ascii="Georgia" w:hAnsi="Georgia" w:cs="Arial"/>
          <w:sz w:val="20"/>
          <w:szCs w:val="20"/>
        </w:rPr>
        <w:t>operations and locations, issues such as</w:t>
      </w:r>
      <w:r w:rsidR="00E0333A" w:rsidRPr="00962F8F">
        <w:rPr>
          <w:rFonts w:ascii="Georgia" w:hAnsi="Georgia" w:cs="Arial"/>
          <w:sz w:val="20"/>
          <w:szCs w:val="20"/>
        </w:rPr>
        <w:t xml:space="preserve"> </w:t>
      </w:r>
      <w:r w:rsidR="005E457B" w:rsidRPr="00962F8F">
        <w:rPr>
          <w:rFonts w:ascii="Georgia" w:hAnsi="Georgia" w:cs="Arial"/>
          <w:sz w:val="20"/>
          <w:szCs w:val="20"/>
        </w:rPr>
        <w:t xml:space="preserve">negative </w:t>
      </w:r>
      <w:r w:rsidRPr="00962F8F">
        <w:rPr>
          <w:rFonts w:ascii="Georgia" w:hAnsi="Georgia" w:cs="Arial"/>
          <w:sz w:val="20"/>
          <w:szCs w:val="20"/>
        </w:rPr>
        <w:t>imp</w:t>
      </w:r>
      <w:r w:rsidR="00E55CDE" w:rsidRPr="00962F8F">
        <w:rPr>
          <w:rFonts w:ascii="Georgia" w:hAnsi="Georgia" w:cs="Arial"/>
          <w:sz w:val="20"/>
          <w:szCs w:val="20"/>
        </w:rPr>
        <w:t xml:space="preserve">acts on Indigenous </w:t>
      </w:r>
      <w:r w:rsidR="005E457B" w:rsidRPr="00962F8F">
        <w:rPr>
          <w:rFonts w:ascii="Georgia" w:hAnsi="Georgia" w:cs="Arial"/>
          <w:sz w:val="20"/>
          <w:szCs w:val="20"/>
        </w:rPr>
        <w:t>P</w:t>
      </w:r>
      <w:r w:rsidR="00E55CDE" w:rsidRPr="00962F8F">
        <w:rPr>
          <w:rFonts w:ascii="Georgia" w:hAnsi="Georgia" w:cs="Arial"/>
          <w:sz w:val="20"/>
          <w:szCs w:val="20"/>
        </w:rPr>
        <w:t xml:space="preserve">eoples and </w:t>
      </w:r>
      <w:r w:rsidR="00CF479A" w:rsidRPr="00962F8F">
        <w:rPr>
          <w:rFonts w:ascii="Georgia" w:hAnsi="Georgia" w:cs="Arial"/>
          <w:sz w:val="20"/>
          <w:szCs w:val="20"/>
        </w:rPr>
        <w:t>c</w:t>
      </w:r>
      <w:r w:rsidR="00E55CDE" w:rsidRPr="00962F8F">
        <w:rPr>
          <w:rFonts w:ascii="Georgia" w:hAnsi="Georgia" w:cs="Arial"/>
          <w:sz w:val="20"/>
          <w:szCs w:val="20"/>
        </w:rPr>
        <w:t xml:space="preserve">ultural </w:t>
      </w:r>
      <w:r w:rsidR="00CF479A" w:rsidRPr="00962F8F">
        <w:rPr>
          <w:rFonts w:ascii="Georgia" w:hAnsi="Georgia" w:cs="Arial"/>
          <w:sz w:val="20"/>
          <w:szCs w:val="20"/>
        </w:rPr>
        <w:t>h</w:t>
      </w:r>
      <w:r w:rsidRPr="00962F8F">
        <w:rPr>
          <w:rFonts w:ascii="Georgia" w:hAnsi="Georgia" w:cs="Arial"/>
          <w:sz w:val="20"/>
          <w:szCs w:val="20"/>
        </w:rPr>
        <w:t>eritage may apply. See E&amp;S</w:t>
      </w:r>
      <w:r w:rsidR="004C5DA9" w:rsidRPr="00962F8F">
        <w:rPr>
          <w:rFonts w:ascii="Georgia" w:hAnsi="Georgia" w:cs="Arial"/>
          <w:sz w:val="20"/>
          <w:szCs w:val="20"/>
        </w:rPr>
        <w:t xml:space="preserve"> Topics</w:t>
      </w:r>
      <w:r w:rsidR="00537C52" w:rsidRPr="00962F8F">
        <w:rPr>
          <w:rFonts w:ascii="Georgia" w:hAnsi="Georgia" w:cs="Arial"/>
          <w:sz w:val="20"/>
          <w:szCs w:val="20"/>
        </w:rPr>
        <w:t>,</w:t>
      </w:r>
      <w:r w:rsidR="00537C52" w:rsidRPr="00962F8F">
        <w:rPr>
          <w:rFonts w:ascii="Georgia" w:hAnsi="Georgia" w:cs="Arial"/>
          <w:color w:val="FF0000"/>
          <w:sz w:val="20"/>
          <w:szCs w:val="20"/>
        </w:rPr>
        <w:t xml:space="preserve"> </w:t>
      </w:r>
      <w:r w:rsidR="00537C52" w:rsidRPr="00962F8F">
        <w:rPr>
          <w:rFonts w:ascii="Georgia" w:hAnsi="Georgia" w:cs="Arial"/>
          <w:sz w:val="20"/>
          <w:szCs w:val="20"/>
        </w:rPr>
        <w:t>Sector Profiles</w:t>
      </w:r>
      <w:r w:rsidRPr="00962F8F">
        <w:rPr>
          <w:rFonts w:ascii="Georgia" w:hAnsi="Georgia" w:cs="Arial"/>
          <w:sz w:val="20"/>
          <w:szCs w:val="20"/>
        </w:rPr>
        <w:t>,</w:t>
      </w:r>
      <w:r w:rsidRPr="00962F8F">
        <w:rPr>
          <w:rFonts w:ascii="Georgia" w:hAnsi="Georgia" w:cs="Arial"/>
          <w:color w:val="FF0000"/>
          <w:sz w:val="20"/>
          <w:szCs w:val="20"/>
        </w:rPr>
        <w:t xml:space="preserve"> </w:t>
      </w:r>
      <w:hyperlink r:id="rId12" w:history="1">
        <w:r w:rsidRPr="00962F8F">
          <w:rPr>
            <w:rStyle w:val="Hyperlink"/>
            <w:rFonts w:ascii="Georgia" w:hAnsi="Georgia" w:cs="Arial"/>
            <w:sz w:val="20"/>
            <w:szCs w:val="20"/>
          </w:rPr>
          <w:t>IFC Performance Standards</w:t>
        </w:r>
      </w:hyperlink>
      <w:r w:rsidRPr="00962F8F">
        <w:rPr>
          <w:rFonts w:ascii="Georgia" w:hAnsi="Georgia" w:cs="Arial"/>
          <w:color w:val="FF0000"/>
          <w:sz w:val="20"/>
          <w:szCs w:val="20"/>
        </w:rPr>
        <w:t xml:space="preserve"> </w:t>
      </w:r>
      <w:r w:rsidRPr="00962F8F">
        <w:rPr>
          <w:rFonts w:ascii="Georgia" w:hAnsi="Georgia" w:cs="Arial"/>
          <w:sz w:val="20"/>
          <w:szCs w:val="20"/>
        </w:rPr>
        <w:t xml:space="preserve">and </w:t>
      </w:r>
      <w:hyperlink r:id="rId13" w:history="1">
        <w:r w:rsidRPr="00962F8F">
          <w:rPr>
            <w:rStyle w:val="Hyperlink"/>
            <w:rFonts w:ascii="Georgia" w:hAnsi="Georgia" w:cs="Arial"/>
            <w:sz w:val="20"/>
            <w:szCs w:val="20"/>
          </w:rPr>
          <w:t xml:space="preserve">World Bank </w:t>
        </w:r>
        <w:r w:rsidR="00B36E25" w:rsidRPr="00962F8F">
          <w:rPr>
            <w:rStyle w:val="Hyperlink"/>
            <w:rFonts w:ascii="Georgia" w:hAnsi="Georgia" w:cs="Arial"/>
            <w:sz w:val="20"/>
            <w:szCs w:val="20"/>
          </w:rPr>
          <w:t xml:space="preserve">Group </w:t>
        </w:r>
        <w:r w:rsidRPr="00962F8F">
          <w:rPr>
            <w:rStyle w:val="Hyperlink"/>
            <w:rFonts w:ascii="Georgia" w:hAnsi="Georgia" w:cs="Arial"/>
            <w:sz w:val="20"/>
            <w:szCs w:val="20"/>
          </w:rPr>
          <w:t>EHS Guidelines</w:t>
        </w:r>
      </w:hyperlink>
      <w:r w:rsidRPr="00962F8F">
        <w:rPr>
          <w:rFonts w:ascii="Georgia" w:hAnsi="Georgia" w:cs="Arial"/>
          <w:sz w:val="20"/>
          <w:szCs w:val="20"/>
        </w:rPr>
        <w:t xml:space="preserve"> for further information. </w:t>
      </w:r>
      <w:r w:rsidR="00806786" w:rsidRPr="00962F8F">
        <w:rPr>
          <w:rFonts w:ascii="Georgia" w:hAnsi="Georgia" w:cs="Arial"/>
          <w:sz w:val="20"/>
          <w:szCs w:val="20"/>
        </w:rPr>
        <w:t>Similarly,</w:t>
      </w:r>
      <w:r w:rsidRPr="00962F8F">
        <w:rPr>
          <w:rFonts w:ascii="Georgia" w:hAnsi="Georgia" w:cs="Arial"/>
          <w:sz w:val="20"/>
          <w:szCs w:val="20"/>
        </w:rPr>
        <w:t xml:space="preserve"> </w:t>
      </w:r>
      <w:r w:rsidR="00D30AFB" w:rsidRPr="00962F8F">
        <w:rPr>
          <w:rFonts w:ascii="Georgia" w:hAnsi="Georgia" w:cs="Arial"/>
          <w:sz w:val="20"/>
          <w:szCs w:val="20"/>
        </w:rPr>
        <w:t xml:space="preserve">different opportunities may be associated with </w:t>
      </w:r>
      <w:r w:rsidR="00C36812" w:rsidRPr="00962F8F">
        <w:rPr>
          <w:rFonts w:ascii="Georgia" w:hAnsi="Georgia" w:cs="Arial"/>
          <w:sz w:val="20"/>
          <w:szCs w:val="20"/>
        </w:rPr>
        <w:t>every prospective transaction</w:t>
      </w:r>
      <w:r w:rsidR="00D30AFB" w:rsidRPr="00962F8F">
        <w:rPr>
          <w:rFonts w:ascii="Georgia" w:hAnsi="Georgia" w:cs="Arial"/>
          <w:sz w:val="20"/>
          <w:szCs w:val="20"/>
        </w:rPr>
        <w:t>.</w:t>
      </w:r>
      <w:r w:rsidRPr="00962F8F">
        <w:rPr>
          <w:rFonts w:ascii="Georgia" w:hAnsi="Georgia" w:cs="Arial"/>
          <w:sz w:val="20"/>
          <w:szCs w:val="20"/>
        </w:rPr>
        <w:t xml:space="preserve">  </w:t>
      </w:r>
    </w:p>
    <w:p w14:paraId="5638C121" w14:textId="07BC3C0F" w:rsidR="00D95B13" w:rsidRPr="00962F8F" w:rsidRDefault="00D95B13" w:rsidP="00D95B13">
      <w:pPr>
        <w:rPr>
          <w:rFonts w:ascii="Georgia" w:hAnsi="Georgia" w:cs="Arial"/>
          <w:sz w:val="20"/>
          <w:szCs w:val="20"/>
        </w:rPr>
      </w:pPr>
      <w:r w:rsidRPr="00962F8F">
        <w:rPr>
          <w:rFonts w:ascii="Georgia" w:hAnsi="Georgia" w:cs="Arial"/>
          <w:sz w:val="20"/>
          <w:szCs w:val="20"/>
        </w:rPr>
        <w:t xml:space="preserve">This </w:t>
      </w:r>
      <w:r w:rsidR="00D920D0" w:rsidRPr="00962F8F">
        <w:rPr>
          <w:rFonts w:ascii="Georgia" w:hAnsi="Georgia" w:cs="Arial"/>
          <w:sz w:val="20"/>
          <w:szCs w:val="20"/>
        </w:rPr>
        <w:t xml:space="preserve">guidance </w:t>
      </w:r>
      <w:r w:rsidRPr="00962F8F">
        <w:rPr>
          <w:rFonts w:ascii="Georgia" w:hAnsi="Georgia" w:cs="Arial"/>
          <w:sz w:val="20"/>
          <w:szCs w:val="20"/>
        </w:rPr>
        <w:t xml:space="preserve">is divided into </w:t>
      </w:r>
      <w:r w:rsidR="005E457B" w:rsidRPr="00962F8F">
        <w:rPr>
          <w:rFonts w:ascii="Georgia" w:hAnsi="Georgia" w:cs="Arial"/>
          <w:sz w:val="20"/>
          <w:szCs w:val="20"/>
        </w:rPr>
        <w:t>themes</w:t>
      </w:r>
      <w:r w:rsidRPr="00962F8F">
        <w:rPr>
          <w:rFonts w:ascii="Georgia" w:hAnsi="Georgia" w:cs="Arial"/>
          <w:sz w:val="20"/>
          <w:szCs w:val="20"/>
        </w:rPr>
        <w:t xml:space="preserve"> </w:t>
      </w:r>
      <w:r w:rsidR="004A3EEC" w:rsidRPr="00962F8F">
        <w:rPr>
          <w:rFonts w:ascii="Georgia" w:hAnsi="Georgia" w:cs="Arial"/>
          <w:sz w:val="20"/>
          <w:szCs w:val="20"/>
        </w:rPr>
        <w:t xml:space="preserve">and </w:t>
      </w:r>
      <w:r w:rsidRPr="00962F8F">
        <w:rPr>
          <w:rFonts w:ascii="Georgia" w:hAnsi="Georgia" w:cs="Arial"/>
          <w:sz w:val="20"/>
          <w:szCs w:val="20"/>
        </w:rPr>
        <w:t xml:space="preserve">a series of questions </w:t>
      </w:r>
      <w:r w:rsidR="00BC4EA0" w:rsidRPr="00962F8F">
        <w:rPr>
          <w:rFonts w:ascii="Georgia" w:hAnsi="Georgia" w:cs="Arial"/>
          <w:sz w:val="20"/>
          <w:szCs w:val="20"/>
        </w:rPr>
        <w:t xml:space="preserve">are </w:t>
      </w:r>
      <w:r w:rsidRPr="00962F8F">
        <w:rPr>
          <w:rFonts w:ascii="Georgia" w:hAnsi="Georgia" w:cs="Arial"/>
          <w:sz w:val="20"/>
          <w:szCs w:val="20"/>
        </w:rPr>
        <w:t xml:space="preserve">provided </w:t>
      </w:r>
      <w:r w:rsidR="00BC4EA0" w:rsidRPr="00962F8F">
        <w:rPr>
          <w:rFonts w:ascii="Georgia" w:hAnsi="Georgia" w:cs="Arial"/>
          <w:sz w:val="20"/>
          <w:szCs w:val="20"/>
        </w:rPr>
        <w:t xml:space="preserve">to help </w:t>
      </w:r>
      <w:r w:rsidRPr="00962F8F">
        <w:rPr>
          <w:rFonts w:ascii="Georgia" w:hAnsi="Georgia" w:cs="Arial"/>
          <w:sz w:val="20"/>
          <w:szCs w:val="20"/>
        </w:rPr>
        <w:t xml:space="preserve">guide </w:t>
      </w:r>
      <w:r w:rsidR="004A3EEC" w:rsidRPr="00962F8F">
        <w:rPr>
          <w:rFonts w:ascii="Georgia" w:hAnsi="Georgia" w:cs="Arial"/>
          <w:sz w:val="20"/>
          <w:szCs w:val="20"/>
        </w:rPr>
        <w:t xml:space="preserve">the E&amp;S </w:t>
      </w:r>
      <w:r w:rsidR="00C36812" w:rsidRPr="00962F8F">
        <w:rPr>
          <w:rFonts w:ascii="Georgia" w:hAnsi="Georgia" w:cs="Arial"/>
          <w:sz w:val="20"/>
          <w:szCs w:val="20"/>
        </w:rPr>
        <w:t>screening process</w:t>
      </w:r>
      <w:r w:rsidRPr="00962F8F">
        <w:rPr>
          <w:rFonts w:ascii="Georgia" w:hAnsi="Georgia" w:cs="Arial"/>
          <w:sz w:val="20"/>
          <w:szCs w:val="20"/>
        </w:rPr>
        <w:t xml:space="preserve">.  Hints and </w:t>
      </w:r>
      <w:r w:rsidR="00CF479A" w:rsidRPr="00962F8F">
        <w:rPr>
          <w:rFonts w:ascii="Georgia" w:hAnsi="Georgia" w:cs="Arial"/>
          <w:sz w:val="20"/>
          <w:szCs w:val="20"/>
        </w:rPr>
        <w:t>t</w:t>
      </w:r>
      <w:r w:rsidRPr="00962F8F">
        <w:rPr>
          <w:rFonts w:ascii="Georgia" w:hAnsi="Georgia" w:cs="Arial"/>
          <w:sz w:val="20"/>
          <w:szCs w:val="20"/>
        </w:rPr>
        <w:t xml:space="preserve">ips are provided </w:t>
      </w:r>
      <w:r w:rsidR="00BC4EA0" w:rsidRPr="00962F8F">
        <w:rPr>
          <w:rFonts w:ascii="Georgia" w:hAnsi="Georgia" w:cs="Arial"/>
          <w:sz w:val="20"/>
          <w:szCs w:val="20"/>
        </w:rPr>
        <w:t xml:space="preserve">to </w:t>
      </w:r>
      <w:r w:rsidR="00806786" w:rsidRPr="00962F8F">
        <w:rPr>
          <w:rFonts w:ascii="Georgia" w:hAnsi="Georgia" w:cs="Arial"/>
          <w:sz w:val="20"/>
          <w:szCs w:val="20"/>
        </w:rPr>
        <w:t>FI’s</w:t>
      </w:r>
      <w:r w:rsidR="00C36812" w:rsidRPr="00962F8F">
        <w:rPr>
          <w:rFonts w:ascii="Georgia" w:hAnsi="Georgia" w:cs="Arial"/>
          <w:sz w:val="20"/>
          <w:szCs w:val="20"/>
        </w:rPr>
        <w:t xml:space="preserve"> </w:t>
      </w:r>
      <w:r w:rsidR="00CF479A" w:rsidRPr="00962F8F">
        <w:rPr>
          <w:rFonts w:ascii="Georgia" w:hAnsi="Georgia" w:cs="Arial"/>
          <w:sz w:val="20"/>
          <w:szCs w:val="20"/>
        </w:rPr>
        <w:t>to</w:t>
      </w:r>
      <w:r w:rsidRPr="00962F8F">
        <w:rPr>
          <w:rFonts w:ascii="Georgia" w:hAnsi="Georgia" w:cs="Arial"/>
          <w:sz w:val="20"/>
          <w:szCs w:val="20"/>
        </w:rPr>
        <w:t xml:space="preserve"> </w:t>
      </w:r>
      <w:r w:rsidR="000379BE" w:rsidRPr="00962F8F">
        <w:rPr>
          <w:rFonts w:ascii="Georgia" w:hAnsi="Georgia" w:cs="Arial"/>
          <w:sz w:val="20"/>
          <w:szCs w:val="20"/>
        </w:rPr>
        <w:t>assess</w:t>
      </w:r>
      <w:r w:rsidR="00BC4EA0" w:rsidRPr="00962F8F">
        <w:rPr>
          <w:rFonts w:ascii="Georgia" w:hAnsi="Georgia" w:cs="Arial"/>
          <w:sz w:val="20"/>
          <w:szCs w:val="20"/>
        </w:rPr>
        <w:t xml:space="preserve"> </w:t>
      </w:r>
      <w:r w:rsidRPr="00962F8F">
        <w:rPr>
          <w:rFonts w:ascii="Georgia" w:hAnsi="Georgia" w:cs="Arial"/>
          <w:sz w:val="20"/>
          <w:szCs w:val="20"/>
        </w:rPr>
        <w:t>the completeness and quality of responses. Sources of verification and further guidance are also provided.</w:t>
      </w:r>
    </w:p>
    <w:p w14:paraId="4A11AD0F" w14:textId="0C712C3A" w:rsidR="000379BE" w:rsidRPr="00962F8F" w:rsidRDefault="000379BE" w:rsidP="00D95B13">
      <w:pPr>
        <w:rPr>
          <w:rFonts w:ascii="Georgia" w:hAnsi="Georgia" w:cs="Arial"/>
          <w:sz w:val="20"/>
          <w:szCs w:val="20"/>
        </w:rPr>
      </w:pPr>
      <w:r w:rsidRPr="00962F8F">
        <w:rPr>
          <w:rFonts w:ascii="Georgia" w:hAnsi="Georgia" w:cs="Arial"/>
          <w:sz w:val="20"/>
          <w:szCs w:val="20"/>
        </w:rPr>
        <w:t xml:space="preserve">Not all questions will be relevant. </w:t>
      </w:r>
      <w:r w:rsidR="00DB7933" w:rsidRPr="00962F8F">
        <w:rPr>
          <w:rFonts w:ascii="Georgia" w:hAnsi="Georgia" w:cs="Arial"/>
          <w:sz w:val="20"/>
          <w:szCs w:val="20"/>
        </w:rPr>
        <w:t xml:space="preserve">The </w:t>
      </w:r>
      <w:r w:rsidR="00C36812" w:rsidRPr="00962F8F">
        <w:rPr>
          <w:rFonts w:ascii="Georgia" w:hAnsi="Georgia" w:cs="Arial"/>
          <w:sz w:val="20"/>
          <w:szCs w:val="20"/>
        </w:rPr>
        <w:t>t</w:t>
      </w:r>
      <w:r w:rsidR="00DB7933" w:rsidRPr="00962F8F">
        <w:rPr>
          <w:rFonts w:ascii="Georgia" w:hAnsi="Georgia" w:cs="Arial"/>
          <w:sz w:val="20"/>
          <w:szCs w:val="20"/>
        </w:rPr>
        <w:t xml:space="preserve">able below will help </w:t>
      </w:r>
      <w:r w:rsidR="00806786" w:rsidRPr="00962F8F">
        <w:rPr>
          <w:rFonts w:ascii="Georgia" w:hAnsi="Georgia" w:cs="Arial"/>
          <w:sz w:val="20"/>
          <w:szCs w:val="20"/>
        </w:rPr>
        <w:t>FI’s</w:t>
      </w:r>
      <w:r w:rsidR="00C36812" w:rsidRPr="00962F8F">
        <w:rPr>
          <w:rFonts w:ascii="Georgia" w:hAnsi="Georgia" w:cs="Arial"/>
          <w:sz w:val="20"/>
          <w:szCs w:val="20"/>
        </w:rPr>
        <w:t xml:space="preserve"> </w:t>
      </w:r>
      <w:r w:rsidR="00DB7933" w:rsidRPr="00962F8F">
        <w:rPr>
          <w:rFonts w:ascii="Georgia" w:hAnsi="Georgia" w:cs="Arial"/>
          <w:sz w:val="20"/>
          <w:szCs w:val="20"/>
        </w:rPr>
        <w:t xml:space="preserve">to focus their attention on the most common and relevant topics for </w:t>
      </w:r>
      <w:r w:rsidR="00C36812" w:rsidRPr="00962F8F">
        <w:rPr>
          <w:rFonts w:ascii="Georgia" w:hAnsi="Georgia" w:cs="Arial"/>
          <w:sz w:val="20"/>
          <w:szCs w:val="20"/>
        </w:rPr>
        <w:t>any transaction</w:t>
      </w:r>
      <w:r w:rsidR="00DB7933" w:rsidRPr="00962F8F">
        <w:rPr>
          <w:rFonts w:ascii="Georgia" w:hAnsi="Georgia" w:cs="Arial"/>
          <w:sz w:val="20"/>
          <w:szCs w:val="20"/>
        </w:rPr>
        <w:t>.</w:t>
      </w:r>
      <w:r w:rsidRPr="00962F8F">
        <w:rPr>
          <w:rFonts w:ascii="Georgia" w:hAnsi="Georgia" w:cs="Arial"/>
          <w:sz w:val="20"/>
          <w:szCs w:val="20"/>
        </w:rPr>
        <w:t xml:space="preserve"> </w:t>
      </w:r>
      <w:r w:rsidR="00806786" w:rsidRPr="00962F8F">
        <w:rPr>
          <w:rFonts w:ascii="Georgia" w:hAnsi="Georgia" w:cs="Arial"/>
          <w:sz w:val="20"/>
          <w:szCs w:val="20"/>
        </w:rPr>
        <w:t>FI’s</w:t>
      </w:r>
      <w:r w:rsidR="00C36812" w:rsidRPr="00962F8F">
        <w:rPr>
          <w:rFonts w:ascii="Georgia" w:hAnsi="Georgia" w:cs="Arial"/>
          <w:sz w:val="20"/>
          <w:szCs w:val="20"/>
        </w:rPr>
        <w:t xml:space="preserve"> </w:t>
      </w:r>
      <w:r w:rsidRPr="00962F8F">
        <w:rPr>
          <w:rFonts w:ascii="Georgia" w:hAnsi="Georgia" w:cs="Arial"/>
          <w:sz w:val="20"/>
          <w:szCs w:val="20"/>
        </w:rPr>
        <w:t>will need to be guided by prior experience, the comments and guidance of consultants and experiences of others (including potentially the</w:t>
      </w:r>
      <w:hyperlink r:id="rId14" w:history="1">
        <w:r w:rsidRPr="00962F8F">
          <w:rPr>
            <w:rStyle w:val="Hyperlink"/>
            <w:rFonts w:ascii="Georgia" w:hAnsi="Georgia" w:cs="Arial"/>
            <w:sz w:val="20"/>
            <w:szCs w:val="20"/>
          </w:rPr>
          <w:t xml:space="preserve"> IFC Projects</w:t>
        </w:r>
        <w:r w:rsidR="00C16C4E" w:rsidRPr="00962F8F">
          <w:rPr>
            <w:rStyle w:val="Hyperlink"/>
            <w:rFonts w:ascii="Georgia" w:hAnsi="Georgia" w:cs="Arial"/>
            <w:sz w:val="20"/>
            <w:szCs w:val="20"/>
          </w:rPr>
          <w:t xml:space="preserve"> Database</w:t>
        </w:r>
      </w:hyperlink>
      <w:r w:rsidR="00C16C4E" w:rsidRPr="00962F8F">
        <w:rPr>
          <w:rFonts w:ascii="Georgia" w:hAnsi="Georgia" w:cs="Arial"/>
          <w:sz w:val="20"/>
          <w:szCs w:val="20"/>
        </w:rPr>
        <w:t xml:space="preserve">) </w:t>
      </w:r>
      <w:r w:rsidRPr="00962F8F">
        <w:rPr>
          <w:rFonts w:ascii="Georgia" w:hAnsi="Georgia" w:cs="Arial"/>
          <w:sz w:val="20"/>
          <w:szCs w:val="20"/>
        </w:rPr>
        <w:t xml:space="preserve">as sources of information </w:t>
      </w:r>
      <w:r w:rsidR="00DB7933" w:rsidRPr="00962F8F">
        <w:rPr>
          <w:rFonts w:ascii="Georgia" w:hAnsi="Georgia" w:cs="Arial"/>
          <w:sz w:val="20"/>
          <w:szCs w:val="20"/>
        </w:rPr>
        <w:t>and guidance.</w:t>
      </w:r>
    </w:p>
    <w:p w14:paraId="35DAEA95" w14:textId="77777777" w:rsidR="00C16C4E" w:rsidRPr="00962F8F" w:rsidRDefault="00C16C4E">
      <w:pPr>
        <w:spacing w:after="200" w:line="276" w:lineRule="auto"/>
        <w:rPr>
          <w:rFonts w:ascii="Georgia" w:hAnsi="Georgia" w:cs="Arial"/>
          <w:sz w:val="20"/>
          <w:szCs w:val="20"/>
          <w:highlight w:val="yellow"/>
        </w:rPr>
      </w:pPr>
      <w:r w:rsidRPr="00962F8F">
        <w:rPr>
          <w:rFonts w:ascii="Georgia" w:hAnsi="Georgia" w:cs="Arial"/>
          <w:sz w:val="20"/>
          <w:szCs w:val="20"/>
          <w:highlight w:val="yellow"/>
        </w:rPr>
        <w:br w:type="page"/>
      </w:r>
    </w:p>
    <w:p w14:paraId="5CCA9EAD" w14:textId="77777777" w:rsidR="00870756" w:rsidRPr="00962F8F" w:rsidRDefault="00870756" w:rsidP="00870756">
      <w:pPr>
        <w:rPr>
          <w:rFonts w:ascii="Georgia" w:hAnsi="Georgia" w:cs="Arial"/>
        </w:rPr>
        <w:sectPr w:rsidR="00870756" w:rsidRPr="00962F8F" w:rsidSect="00021918">
          <w:headerReference w:type="default" r:id="rId15"/>
          <w:footerReference w:type="default" r:id="rId16"/>
          <w:pgSz w:w="16838" w:h="11906" w:orient="landscape"/>
          <w:pgMar w:top="1440" w:right="1440" w:bottom="1440" w:left="1440" w:header="426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457EE" w:rsidRPr="00962F8F" w14:paraId="0042676E" w14:textId="77777777" w:rsidTr="00F24849">
        <w:tc>
          <w:tcPr>
            <w:tcW w:w="14174" w:type="dxa"/>
            <w:shd w:val="clear" w:color="auto" w:fill="DBE5F1" w:themeFill="accent1" w:themeFillTint="33"/>
          </w:tcPr>
          <w:p w14:paraId="1AAA0BF5" w14:textId="785B1BC1" w:rsidR="003457EE" w:rsidRPr="00962F8F" w:rsidRDefault="00B56EE1" w:rsidP="00BC2550">
            <w:pPr>
              <w:shd w:val="clear" w:color="auto" w:fill="DBE5F1" w:themeFill="accent1" w:themeFillTint="33"/>
              <w:suppressAutoHyphens/>
              <w:rPr>
                <w:rFonts w:ascii="Georgia" w:hAnsi="Georgia" w:cs="Arial"/>
                <w:sz w:val="20"/>
                <w:szCs w:val="20"/>
              </w:rPr>
            </w:pPr>
            <w:r w:rsidRPr="00962F8F">
              <w:rPr>
                <w:rFonts w:ascii="Georgia" w:hAnsi="Georgia" w:cs="Arial"/>
                <w:b/>
                <w:sz w:val="20"/>
                <w:szCs w:val="20"/>
              </w:rPr>
              <w:lastRenderedPageBreak/>
              <w:t>E&amp;S Screening</w:t>
            </w:r>
          </w:p>
          <w:p w14:paraId="784B603D" w14:textId="5015470A" w:rsidR="00410494" w:rsidRPr="00962F8F" w:rsidRDefault="00F440A7">
            <w:pPr>
              <w:rPr>
                <w:rFonts w:ascii="Georgia" w:hAnsi="Georgia" w:cs="Arial"/>
                <w:sz w:val="20"/>
                <w:szCs w:val="20"/>
              </w:rPr>
            </w:pPr>
            <w:r w:rsidRPr="00962F8F">
              <w:rPr>
                <w:rFonts w:ascii="Georgia" w:hAnsi="Georgia" w:cs="Arial"/>
                <w:sz w:val="20"/>
                <w:szCs w:val="20"/>
              </w:rPr>
              <w:t>It is common that</w:t>
            </w:r>
            <w:r w:rsidR="0052706D" w:rsidRPr="00962F8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70558F" w:rsidRPr="00962F8F">
              <w:rPr>
                <w:rFonts w:ascii="Georgia" w:hAnsi="Georgia" w:cs="Arial"/>
                <w:sz w:val="20"/>
                <w:szCs w:val="20"/>
              </w:rPr>
              <w:t>during the</w:t>
            </w:r>
            <w:r w:rsidR="00570081" w:rsidRPr="00962F8F">
              <w:rPr>
                <w:rFonts w:ascii="Georgia" w:hAnsi="Georgia" w:cs="Arial"/>
                <w:sz w:val="20"/>
                <w:szCs w:val="20"/>
              </w:rPr>
              <w:t xml:space="preserve"> screening </w:t>
            </w:r>
            <w:r w:rsidRPr="00962F8F">
              <w:rPr>
                <w:rFonts w:ascii="Georgia" w:hAnsi="Georgia" w:cs="Arial"/>
                <w:sz w:val="20"/>
                <w:szCs w:val="20"/>
              </w:rPr>
              <w:t xml:space="preserve">stage </w:t>
            </w:r>
            <w:r w:rsidR="0070558F" w:rsidRPr="00962F8F">
              <w:rPr>
                <w:rFonts w:ascii="Georgia" w:hAnsi="Georgia" w:cs="Arial"/>
                <w:sz w:val="20"/>
                <w:szCs w:val="20"/>
              </w:rPr>
              <w:t xml:space="preserve">of </w:t>
            </w:r>
            <w:r w:rsidR="008264F1" w:rsidRPr="00962F8F">
              <w:rPr>
                <w:rFonts w:ascii="Georgia" w:hAnsi="Georgia" w:cs="Arial"/>
                <w:sz w:val="20"/>
                <w:szCs w:val="20"/>
              </w:rPr>
              <w:t>a transaction</w:t>
            </w:r>
            <w:r w:rsidRPr="00962F8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52706D" w:rsidRPr="00962F8F">
              <w:rPr>
                <w:rFonts w:ascii="Georgia" w:hAnsi="Georgia" w:cs="Arial"/>
                <w:sz w:val="20"/>
                <w:szCs w:val="20"/>
              </w:rPr>
              <w:t xml:space="preserve">the depth of knowledge and amount of information available </w:t>
            </w:r>
            <w:r w:rsidR="007D2B5D" w:rsidRPr="00962F8F">
              <w:rPr>
                <w:rFonts w:ascii="Georgia" w:hAnsi="Georgia" w:cs="Arial"/>
                <w:sz w:val="20"/>
                <w:szCs w:val="20"/>
              </w:rPr>
              <w:t xml:space="preserve">to the FI </w:t>
            </w:r>
            <w:r w:rsidR="0052706D" w:rsidRPr="00962F8F">
              <w:rPr>
                <w:rFonts w:ascii="Georgia" w:hAnsi="Georgia" w:cs="Arial"/>
                <w:sz w:val="20"/>
                <w:szCs w:val="20"/>
              </w:rPr>
              <w:t xml:space="preserve">is </w:t>
            </w:r>
            <w:r w:rsidR="0067683E" w:rsidRPr="00962F8F">
              <w:rPr>
                <w:rFonts w:ascii="Georgia" w:hAnsi="Georgia" w:cs="Arial"/>
                <w:sz w:val="20"/>
                <w:szCs w:val="20"/>
              </w:rPr>
              <w:t>limited</w:t>
            </w:r>
            <w:r w:rsidR="0052706D" w:rsidRPr="00962F8F">
              <w:rPr>
                <w:rFonts w:ascii="Georgia" w:hAnsi="Georgia" w:cs="Arial"/>
                <w:sz w:val="20"/>
                <w:szCs w:val="20"/>
              </w:rPr>
              <w:t xml:space="preserve">. Therefore, the FI </w:t>
            </w:r>
            <w:r w:rsidR="007C5FF9" w:rsidRPr="00962F8F">
              <w:rPr>
                <w:rFonts w:ascii="Georgia" w:hAnsi="Georgia" w:cs="Arial"/>
                <w:sz w:val="20"/>
                <w:szCs w:val="20"/>
              </w:rPr>
              <w:t>must</w:t>
            </w:r>
            <w:r w:rsidR="00146E3F" w:rsidRPr="00962F8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52706D" w:rsidRPr="00962F8F">
              <w:rPr>
                <w:rFonts w:ascii="Georgia" w:hAnsi="Georgia" w:cs="Arial"/>
                <w:sz w:val="20"/>
                <w:szCs w:val="20"/>
              </w:rPr>
              <w:t>rel</w:t>
            </w:r>
            <w:r w:rsidR="00146E3F" w:rsidRPr="00962F8F">
              <w:rPr>
                <w:rFonts w:ascii="Georgia" w:hAnsi="Georgia" w:cs="Arial"/>
                <w:sz w:val="20"/>
                <w:szCs w:val="20"/>
              </w:rPr>
              <w:t>y</w:t>
            </w:r>
            <w:r w:rsidR="0052706D" w:rsidRPr="00962F8F">
              <w:rPr>
                <w:rFonts w:ascii="Georgia" w:hAnsi="Georgia" w:cs="Arial"/>
                <w:sz w:val="20"/>
                <w:szCs w:val="20"/>
              </w:rPr>
              <w:t xml:space="preserve"> on information contained </w:t>
            </w:r>
            <w:r w:rsidR="0070558F" w:rsidRPr="00962F8F">
              <w:rPr>
                <w:rFonts w:ascii="Georgia" w:hAnsi="Georgia" w:cs="Arial"/>
                <w:sz w:val="20"/>
                <w:szCs w:val="20"/>
              </w:rPr>
              <w:t>with</w:t>
            </w:r>
            <w:r w:rsidR="0052706D" w:rsidRPr="00962F8F">
              <w:rPr>
                <w:rFonts w:ascii="Georgia" w:hAnsi="Georgia" w:cs="Arial"/>
                <w:sz w:val="20"/>
                <w:szCs w:val="20"/>
              </w:rPr>
              <w:t xml:space="preserve">in the </w:t>
            </w:r>
            <w:r w:rsidR="0067683E" w:rsidRPr="00962F8F">
              <w:rPr>
                <w:rFonts w:ascii="Georgia" w:hAnsi="Georgia" w:cs="Arial"/>
                <w:sz w:val="20"/>
                <w:szCs w:val="20"/>
              </w:rPr>
              <w:t>transaction application</w:t>
            </w:r>
            <w:r w:rsidR="0070558F" w:rsidRPr="00962F8F">
              <w:rPr>
                <w:rFonts w:ascii="Georgia" w:hAnsi="Georgia" w:cs="Arial"/>
                <w:sz w:val="20"/>
                <w:szCs w:val="20"/>
              </w:rPr>
              <w:t xml:space="preserve"> as well as</w:t>
            </w:r>
            <w:r w:rsidR="00801BAE" w:rsidRPr="00962F8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70558F" w:rsidRPr="00962F8F">
              <w:rPr>
                <w:rFonts w:ascii="Georgia" w:hAnsi="Georgia" w:cs="Arial"/>
                <w:sz w:val="20"/>
                <w:szCs w:val="20"/>
              </w:rPr>
              <w:t>inherent</w:t>
            </w:r>
            <w:r w:rsidR="0052706D" w:rsidRPr="00962F8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801BAE" w:rsidRPr="00962F8F">
              <w:rPr>
                <w:rFonts w:ascii="Georgia" w:hAnsi="Georgia" w:cs="Arial"/>
                <w:sz w:val="20"/>
                <w:szCs w:val="20"/>
              </w:rPr>
              <w:t>credit type</w:t>
            </w:r>
            <w:r w:rsidR="0067683E" w:rsidRPr="00962F8F">
              <w:rPr>
                <w:rFonts w:ascii="Georgia" w:hAnsi="Georgia" w:cs="Arial"/>
                <w:sz w:val="20"/>
                <w:szCs w:val="20"/>
              </w:rPr>
              <w:t xml:space="preserve">, </w:t>
            </w:r>
            <w:r w:rsidR="00801BAE" w:rsidRPr="00962F8F">
              <w:rPr>
                <w:rFonts w:ascii="Georgia" w:hAnsi="Georgia" w:cs="Arial"/>
                <w:sz w:val="20"/>
                <w:szCs w:val="20"/>
              </w:rPr>
              <w:t>sector</w:t>
            </w:r>
            <w:r w:rsidR="0052706D" w:rsidRPr="00962F8F">
              <w:rPr>
                <w:rFonts w:ascii="Georgia" w:hAnsi="Georgia" w:cs="Arial"/>
                <w:sz w:val="20"/>
                <w:szCs w:val="20"/>
              </w:rPr>
              <w:t xml:space="preserve"> and </w:t>
            </w:r>
            <w:r w:rsidR="0067683E" w:rsidRPr="00962F8F">
              <w:rPr>
                <w:rFonts w:ascii="Georgia" w:hAnsi="Georgia" w:cs="Arial"/>
                <w:sz w:val="20"/>
                <w:szCs w:val="20"/>
              </w:rPr>
              <w:t>geograph</w:t>
            </w:r>
            <w:r w:rsidR="00801BAE" w:rsidRPr="00962F8F">
              <w:rPr>
                <w:rFonts w:ascii="Georgia" w:hAnsi="Georgia" w:cs="Arial"/>
                <w:sz w:val="20"/>
                <w:szCs w:val="20"/>
              </w:rPr>
              <w:t>ical</w:t>
            </w:r>
            <w:r w:rsidR="0067683E" w:rsidRPr="00962F8F">
              <w:rPr>
                <w:rFonts w:ascii="Georgia" w:hAnsi="Georgia" w:cs="Arial"/>
                <w:sz w:val="20"/>
                <w:szCs w:val="20"/>
              </w:rPr>
              <w:t xml:space="preserve"> related characteristics and publicly</w:t>
            </w:r>
            <w:r w:rsidR="0052706D" w:rsidRPr="00962F8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67683E" w:rsidRPr="00962F8F">
              <w:rPr>
                <w:rFonts w:ascii="Georgia" w:hAnsi="Georgia" w:cs="Arial"/>
                <w:sz w:val="20"/>
                <w:szCs w:val="20"/>
              </w:rPr>
              <w:t xml:space="preserve">available information. </w:t>
            </w:r>
            <w:r w:rsidR="00FB0781" w:rsidRPr="00962F8F">
              <w:rPr>
                <w:rFonts w:ascii="Georgia" w:hAnsi="Georgia" w:cs="Arial"/>
                <w:sz w:val="20"/>
                <w:szCs w:val="20"/>
              </w:rPr>
              <w:t>If possible, specific E&amp;S information and documentation should be requested from the client</w:t>
            </w:r>
            <w:r w:rsidR="0070558F" w:rsidRPr="00962F8F">
              <w:rPr>
                <w:rFonts w:ascii="Georgia" w:hAnsi="Georgia" w:cs="Arial"/>
                <w:sz w:val="20"/>
                <w:szCs w:val="20"/>
              </w:rPr>
              <w:t>/project</w:t>
            </w:r>
            <w:r w:rsidR="00FB0781" w:rsidRPr="00962F8F">
              <w:rPr>
                <w:rFonts w:ascii="Georgia" w:hAnsi="Georgia" w:cs="Arial"/>
                <w:sz w:val="20"/>
                <w:szCs w:val="20"/>
              </w:rPr>
              <w:t xml:space="preserve"> to inform the screening process. </w:t>
            </w:r>
          </w:p>
          <w:p w14:paraId="08996849" w14:textId="056307BE" w:rsidR="003457EE" w:rsidRPr="00962F8F" w:rsidRDefault="0070558F" w:rsidP="00BC2550">
            <w:pPr>
              <w:shd w:val="clear" w:color="auto" w:fill="DBE5F1" w:themeFill="accent1" w:themeFillTint="33"/>
              <w:suppressAutoHyphens/>
              <w:rPr>
                <w:rFonts w:ascii="Georgia" w:hAnsi="Georgia" w:cs="Arial"/>
                <w:sz w:val="20"/>
                <w:szCs w:val="20"/>
              </w:rPr>
            </w:pPr>
            <w:r w:rsidRPr="00962F8F">
              <w:rPr>
                <w:rFonts w:ascii="Georgia" w:hAnsi="Georgia" w:cs="Arial"/>
                <w:sz w:val="20"/>
                <w:szCs w:val="20"/>
              </w:rPr>
              <w:t xml:space="preserve">The FI should conduct a high-level review of </w:t>
            </w:r>
            <w:r w:rsidR="001501A5" w:rsidRPr="00962F8F">
              <w:rPr>
                <w:rFonts w:ascii="Georgia" w:hAnsi="Georgia" w:cs="Arial"/>
                <w:sz w:val="20"/>
                <w:szCs w:val="20"/>
              </w:rPr>
              <w:t xml:space="preserve">the </w:t>
            </w:r>
            <w:r w:rsidR="00772D7C" w:rsidRPr="00962F8F">
              <w:rPr>
                <w:rFonts w:ascii="Georgia" w:hAnsi="Georgia" w:cs="Arial"/>
                <w:sz w:val="20"/>
                <w:szCs w:val="20"/>
              </w:rPr>
              <w:t>available</w:t>
            </w:r>
            <w:r w:rsidR="00FB0781" w:rsidRPr="00962F8F">
              <w:rPr>
                <w:rFonts w:ascii="Georgia" w:hAnsi="Georgia" w:cs="Arial"/>
                <w:sz w:val="20"/>
                <w:szCs w:val="20"/>
              </w:rPr>
              <w:t xml:space="preserve"> information</w:t>
            </w:r>
            <w:r w:rsidR="0067683E" w:rsidRPr="00962F8F">
              <w:rPr>
                <w:rFonts w:ascii="Georgia" w:hAnsi="Georgia" w:cs="Arial"/>
                <w:sz w:val="20"/>
                <w:szCs w:val="20"/>
              </w:rPr>
              <w:t xml:space="preserve"> from an E&amp;S perspective, to ensure </w:t>
            </w:r>
            <w:r w:rsidRPr="00962F8F">
              <w:rPr>
                <w:rFonts w:ascii="Georgia" w:hAnsi="Georgia" w:cs="Arial"/>
                <w:sz w:val="20"/>
                <w:szCs w:val="20"/>
              </w:rPr>
              <w:t xml:space="preserve">that </w:t>
            </w:r>
            <w:r w:rsidR="0067683E" w:rsidRPr="00962F8F">
              <w:rPr>
                <w:rFonts w:ascii="Georgia" w:hAnsi="Georgia" w:cs="Arial"/>
                <w:sz w:val="20"/>
                <w:szCs w:val="20"/>
              </w:rPr>
              <w:t xml:space="preserve">the transaction aligns with the FI’s E&amp;S policies and exclusion list. Importantly, this </w:t>
            </w:r>
            <w:r w:rsidRPr="00962F8F">
              <w:rPr>
                <w:rFonts w:ascii="Georgia" w:hAnsi="Georgia" w:cs="Arial"/>
                <w:sz w:val="20"/>
                <w:szCs w:val="20"/>
              </w:rPr>
              <w:t xml:space="preserve">process </w:t>
            </w:r>
            <w:r w:rsidR="0067683E" w:rsidRPr="00962F8F">
              <w:rPr>
                <w:rFonts w:ascii="Georgia" w:hAnsi="Georgia" w:cs="Arial"/>
                <w:sz w:val="20"/>
                <w:szCs w:val="20"/>
              </w:rPr>
              <w:t>supports the F</w:t>
            </w:r>
            <w:r w:rsidR="00570081" w:rsidRPr="00962F8F">
              <w:rPr>
                <w:rFonts w:ascii="Georgia" w:hAnsi="Georgia" w:cs="Arial"/>
                <w:sz w:val="20"/>
                <w:szCs w:val="20"/>
              </w:rPr>
              <w:t>I</w:t>
            </w:r>
            <w:r w:rsidR="009D0F05" w:rsidRPr="00962F8F">
              <w:rPr>
                <w:rFonts w:ascii="Georgia" w:hAnsi="Georgia" w:cs="Arial"/>
                <w:sz w:val="20"/>
                <w:szCs w:val="20"/>
              </w:rPr>
              <w:t xml:space="preserve"> to identify any ‘no-go’ issues early on in the process, which may stop the transaction from moving to the next stage of the approval process such as the client undertaking a prohibited activity listed on a FI</w:t>
            </w:r>
            <w:r w:rsidR="00570081" w:rsidRPr="00962F8F">
              <w:rPr>
                <w:rFonts w:ascii="Georgia" w:hAnsi="Georgia" w:cs="Arial"/>
                <w:sz w:val="20"/>
                <w:szCs w:val="20"/>
              </w:rPr>
              <w:t>’</w:t>
            </w:r>
            <w:r w:rsidR="009D0F05" w:rsidRPr="00962F8F">
              <w:rPr>
                <w:rFonts w:ascii="Georgia" w:hAnsi="Georgia" w:cs="Arial"/>
                <w:sz w:val="20"/>
                <w:szCs w:val="20"/>
              </w:rPr>
              <w:t>s exclusion list, transactions with E&amp;S issues outside of the FI’s risk tolerance or policy</w:t>
            </w:r>
            <w:r w:rsidRPr="00962F8F">
              <w:rPr>
                <w:rFonts w:ascii="Georgia" w:hAnsi="Georgia" w:cs="Arial"/>
                <w:sz w:val="20"/>
                <w:szCs w:val="20"/>
              </w:rPr>
              <w:t>, etc</w:t>
            </w:r>
            <w:r w:rsidR="009D0F05" w:rsidRPr="00962F8F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="00887C84" w:rsidRPr="00962F8F">
              <w:rPr>
                <w:rFonts w:ascii="Georgia" w:hAnsi="Georgia" w:cs="Arial"/>
                <w:sz w:val="20"/>
                <w:szCs w:val="20"/>
              </w:rPr>
              <w:t xml:space="preserve">In addition, screening </w:t>
            </w:r>
            <w:r w:rsidRPr="00962F8F">
              <w:rPr>
                <w:rFonts w:ascii="Georgia" w:hAnsi="Georgia" w:cs="Arial"/>
                <w:sz w:val="20"/>
                <w:szCs w:val="20"/>
              </w:rPr>
              <w:t xml:space="preserve">seeks to </w:t>
            </w:r>
            <w:r w:rsidR="009D0F05" w:rsidRPr="00962F8F">
              <w:rPr>
                <w:rFonts w:ascii="Georgia" w:hAnsi="Georgia" w:cs="Arial"/>
                <w:sz w:val="20"/>
                <w:szCs w:val="20"/>
              </w:rPr>
              <w:t>save</w:t>
            </w:r>
            <w:r w:rsidR="00570081" w:rsidRPr="00962F8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887C84" w:rsidRPr="00962F8F">
              <w:rPr>
                <w:rFonts w:ascii="Georgia" w:hAnsi="Georgia" w:cs="Arial"/>
                <w:sz w:val="20"/>
                <w:szCs w:val="20"/>
              </w:rPr>
              <w:t xml:space="preserve">the FI </w:t>
            </w:r>
            <w:r w:rsidR="009D0F05" w:rsidRPr="00962F8F">
              <w:rPr>
                <w:rFonts w:ascii="Georgia" w:hAnsi="Georgia" w:cs="Arial"/>
                <w:sz w:val="20"/>
                <w:szCs w:val="20"/>
              </w:rPr>
              <w:t xml:space="preserve">time and resources and guides the subsequent stages of the transaction </w:t>
            </w:r>
            <w:r w:rsidR="00E14B32" w:rsidRPr="00962F8F">
              <w:rPr>
                <w:rFonts w:ascii="Georgia" w:hAnsi="Georgia" w:cs="Arial"/>
                <w:sz w:val="20"/>
                <w:szCs w:val="20"/>
              </w:rPr>
              <w:t>c</w:t>
            </w:r>
            <w:r w:rsidR="009D0F05" w:rsidRPr="00962F8F">
              <w:rPr>
                <w:rFonts w:ascii="Georgia" w:hAnsi="Georgia" w:cs="Arial"/>
                <w:sz w:val="20"/>
                <w:szCs w:val="20"/>
              </w:rPr>
              <w:t xml:space="preserve">ycle.  </w:t>
            </w:r>
            <w:r w:rsidR="0029373C" w:rsidRPr="00962F8F">
              <w:rPr>
                <w:rFonts w:ascii="Georgia" w:hAnsi="Georgia" w:cs="Arial"/>
                <w:sz w:val="20"/>
                <w:szCs w:val="20"/>
              </w:rPr>
              <w:t>Please note</w:t>
            </w:r>
            <w:r w:rsidR="0029373C" w:rsidRPr="00962F8F">
              <w:rPr>
                <w:rFonts w:ascii="Georgia" w:hAnsi="Georgia"/>
              </w:rPr>
              <w:t xml:space="preserve"> </w:t>
            </w:r>
            <w:r w:rsidR="0029373C" w:rsidRPr="00962F8F">
              <w:rPr>
                <w:rFonts w:ascii="Georgia" w:hAnsi="Georgia" w:cs="Arial"/>
                <w:sz w:val="20"/>
                <w:szCs w:val="20"/>
              </w:rPr>
              <w:t xml:space="preserve">that this is not an exhaustive </w:t>
            </w:r>
            <w:r w:rsidR="002E60F7" w:rsidRPr="00962F8F">
              <w:rPr>
                <w:rFonts w:ascii="Georgia" w:hAnsi="Georgia" w:cs="Arial"/>
                <w:sz w:val="20"/>
                <w:szCs w:val="20"/>
              </w:rPr>
              <w:t xml:space="preserve">checklist. </w:t>
            </w:r>
          </w:p>
        </w:tc>
      </w:tr>
    </w:tbl>
    <w:p w14:paraId="7379A17A" w14:textId="77777777" w:rsidR="00ED04D5" w:rsidRPr="00962F8F" w:rsidRDefault="00ED04D5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2665"/>
        <w:gridCol w:w="6009"/>
      </w:tblGrid>
      <w:tr w:rsidR="0008703B" w:rsidRPr="00962F8F" w14:paraId="1992A815" w14:textId="77777777" w:rsidTr="00BC2550">
        <w:trPr>
          <w:trHeight w:val="358"/>
          <w:tblHeader/>
        </w:trPr>
        <w:tc>
          <w:tcPr>
            <w:tcW w:w="5353" w:type="dxa"/>
            <w:shd w:val="clear" w:color="auto" w:fill="17365D" w:themeFill="text2" w:themeFillShade="BF"/>
          </w:tcPr>
          <w:p w14:paraId="69D68194" w14:textId="3180E68D" w:rsidR="0008703B" w:rsidRPr="00962F8F" w:rsidRDefault="00155023" w:rsidP="00772D7C">
            <w:pPr>
              <w:suppressAutoHyphens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62F8F">
              <w:rPr>
                <w:rFonts w:ascii="Georgia" w:hAnsi="Georgia" w:cs="Arial"/>
                <w:b/>
                <w:sz w:val="20"/>
                <w:szCs w:val="20"/>
              </w:rPr>
              <w:t>Transaction Details to Consider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6535F097" w14:textId="77777777" w:rsidR="0008703B" w:rsidRPr="00962F8F" w:rsidRDefault="0008703B" w:rsidP="00772D7C">
            <w:pPr>
              <w:suppressAutoHyphens/>
              <w:spacing w:after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62F8F">
              <w:rPr>
                <w:rFonts w:ascii="Georgia" w:hAnsi="Georgia" w:cs="Arial"/>
                <w:b/>
                <w:sz w:val="20"/>
                <w:szCs w:val="20"/>
              </w:rPr>
              <w:t>Verification and information sources</w:t>
            </w:r>
          </w:p>
        </w:tc>
        <w:tc>
          <w:tcPr>
            <w:tcW w:w="6096" w:type="dxa"/>
            <w:shd w:val="clear" w:color="auto" w:fill="17365D" w:themeFill="text2" w:themeFillShade="BF"/>
          </w:tcPr>
          <w:p w14:paraId="615BCB49" w14:textId="5C143487" w:rsidR="0008703B" w:rsidRPr="00962F8F" w:rsidRDefault="0008703B" w:rsidP="00772D7C">
            <w:pPr>
              <w:suppressAutoHyphens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62F8F">
              <w:rPr>
                <w:rFonts w:ascii="Georgia" w:hAnsi="Georgia" w:cs="Arial"/>
                <w:b/>
                <w:sz w:val="20"/>
                <w:szCs w:val="20"/>
              </w:rPr>
              <w:t>Hints and tips</w:t>
            </w:r>
          </w:p>
        </w:tc>
      </w:tr>
      <w:tr w:rsidR="002D0725" w:rsidRPr="00962F8F" w14:paraId="40FC5BC2" w14:textId="77777777" w:rsidTr="007E1F59">
        <w:trPr>
          <w:trHeight w:val="295"/>
        </w:trPr>
        <w:tc>
          <w:tcPr>
            <w:tcW w:w="14142" w:type="dxa"/>
            <w:gridSpan w:val="3"/>
            <w:shd w:val="clear" w:color="auto" w:fill="C6D9F1" w:themeFill="text2" w:themeFillTint="33"/>
          </w:tcPr>
          <w:p w14:paraId="36E31729" w14:textId="72D32EBC" w:rsidR="002D0725" w:rsidRPr="00962F8F" w:rsidRDefault="002D0725" w:rsidP="00772D7C">
            <w:pPr>
              <w:suppressAutoHyphens/>
              <w:spacing w:after="0"/>
              <w:rPr>
                <w:rFonts w:ascii="Georgia" w:hAnsi="Georgia" w:cs="Arial"/>
                <w:b/>
                <w:i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>Transaction Details</w:t>
            </w:r>
          </w:p>
        </w:tc>
      </w:tr>
      <w:tr w:rsidR="002D0725" w:rsidRPr="00962F8F" w14:paraId="647A3BBC" w14:textId="77777777" w:rsidTr="006B0677">
        <w:trPr>
          <w:trHeight w:val="3621"/>
        </w:trPr>
        <w:tc>
          <w:tcPr>
            <w:tcW w:w="5353" w:type="dxa"/>
            <w:shd w:val="clear" w:color="auto" w:fill="auto"/>
          </w:tcPr>
          <w:p w14:paraId="3BE74876" w14:textId="218A51B1" w:rsidR="009D7935" w:rsidRPr="00962F8F" w:rsidRDefault="009D7935" w:rsidP="009D7935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5" w:hanging="175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What </w:t>
            </w:r>
            <w:r w:rsidR="00570081" w:rsidRPr="00962F8F">
              <w:rPr>
                <w:rFonts w:ascii="Georgia" w:hAnsi="Georgia" w:cs="Arial"/>
                <w:sz w:val="18"/>
                <w:szCs w:val="18"/>
              </w:rPr>
              <w:t>type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of client</w:t>
            </w:r>
            <w:r w:rsidR="000C027A" w:rsidRPr="00962F8F">
              <w:rPr>
                <w:rFonts w:ascii="Georgia" w:hAnsi="Georgia" w:cs="Arial"/>
                <w:sz w:val="18"/>
                <w:szCs w:val="18"/>
              </w:rPr>
              <w:t xml:space="preserve"> is seeking the funding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(i.e., individuals, corporations, small to medium enterprises, governmental organisations, </w:t>
            </w:r>
            <w:r w:rsidR="00212F2D" w:rsidRPr="00962F8F">
              <w:rPr>
                <w:rFonts w:ascii="Georgia" w:hAnsi="Georgia" w:cs="Arial"/>
                <w:sz w:val="18"/>
                <w:szCs w:val="18"/>
              </w:rPr>
              <w:t xml:space="preserve">bank, </w:t>
            </w:r>
            <w:r w:rsidRPr="00962F8F">
              <w:rPr>
                <w:rFonts w:ascii="Georgia" w:hAnsi="Georgia" w:cs="Arial"/>
                <w:sz w:val="18"/>
                <w:szCs w:val="18"/>
              </w:rPr>
              <w:t>etc)</w:t>
            </w:r>
            <w:r w:rsidR="00FD228B" w:rsidRPr="00962F8F">
              <w:rPr>
                <w:rFonts w:ascii="Georgia" w:hAnsi="Georgia" w:cs="Arial"/>
                <w:sz w:val="18"/>
                <w:szCs w:val="18"/>
              </w:rPr>
              <w:t xml:space="preserve">? </w:t>
            </w:r>
          </w:p>
          <w:p w14:paraId="53A929DF" w14:textId="3B551A71" w:rsidR="002D0725" w:rsidRPr="00962F8F" w:rsidRDefault="002D0725" w:rsidP="00772D7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5" w:hanging="175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What is the nature of the transaction? This includes: </w:t>
            </w:r>
          </w:p>
          <w:p w14:paraId="1BB84294" w14:textId="339E42DF" w:rsidR="002D0725" w:rsidRPr="00962F8F" w:rsidRDefault="002D0725" w:rsidP="00772D7C">
            <w:pPr>
              <w:pStyle w:val="ListParagraph"/>
              <w:numPr>
                <w:ilvl w:val="0"/>
                <w:numId w:val="6"/>
              </w:numPr>
              <w:suppressAutoHyphens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Type of credit (</w:t>
            </w:r>
            <w:r w:rsidR="00667AA1" w:rsidRPr="00962F8F">
              <w:rPr>
                <w:rFonts w:ascii="Georgia" w:hAnsi="Georgia" w:cs="Arial"/>
                <w:sz w:val="18"/>
                <w:szCs w:val="18"/>
              </w:rPr>
              <w:t>I.e.,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ED04D5" w:rsidRPr="00962F8F">
              <w:rPr>
                <w:rFonts w:ascii="Georgia" w:hAnsi="Georgia" w:cs="Arial"/>
                <w:sz w:val="18"/>
                <w:szCs w:val="18"/>
              </w:rPr>
              <w:t>project finance / project related corporate loans, corporate finance, corporate debt, retail banking, consumer loans, retail credit</w:t>
            </w:r>
            <w:r w:rsidRPr="00962F8F">
              <w:rPr>
                <w:rFonts w:ascii="Georgia" w:hAnsi="Georgia" w:cs="Arial"/>
                <w:sz w:val="18"/>
                <w:szCs w:val="18"/>
              </w:rPr>
              <w:t>,</w:t>
            </w:r>
            <w:r w:rsidRPr="00962F8F">
              <w:rPr>
                <w:rFonts w:ascii="Georgia" w:hAnsi="Georgia"/>
              </w:rPr>
              <w:t xml:space="preserve">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mortgages, letters of credit/guarantee, </w:t>
            </w:r>
            <w:r w:rsidR="00821A5C" w:rsidRPr="00962F8F">
              <w:rPr>
                <w:rFonts w:ascii="Georgia" w:hAnsi="Georgia" w:cs="Arial"/>
                <w:sz w:val="18"/>
                <w:szCs w:val="18"/>
              </w:rPr>
              <w:t>trade finance</w:t>
            </w:r>
            <w:r w:rsidRPr="00962F8F">
              <w:rPr>
                <w:rFonts w:ascii="Georgia" w:hAnsi="Georgia" w:cs="Arial"/>
                <w:sz w:val="18"/>
                <w:szCs w:val="18"/>
              </w:rPr>
              <w:t>, etc</w:t>
            </w:r>
            <w:proofErr w:type="gramStart"/>
            <w:r w:rsidRPr="00962F8F">
              <w:rPr>
                <w:rFonts w:ascii="Georgia" w:hAnsi="Georgia" w:cs="Arial"/>
                <w:sz w:val="18"/>
                <w:szCs w:val="18"/>
              </w:rPr>
              <w:t>)</w:t>
            </w:r>
            <w:r w:rsidR="00821A5C" w:rsidRPr="00962F8F">
              <w:rPr>
                <w:rFonts w:ascii="Georgia" w:hAnsi="Georgia" w:cs="Arial"/>
                <w:sz w:val="18"/>
                <w:szCs w:val="18"/>
              </w:rPr>
              <w:t>;</w:t>
            </w:r>
            <w:proofErr w:type="gramEnd"/>
          </w:p>
          <w:p w14:paraId="06DEF732" w14:textId="39EE4DFB" w:rsidR="002D0725" w:rsidRPr="00962F8F" w:rsidRDefault="00ED04D5" w:rsidP="00772D7C">
            <w:pPr>
              <w:pStyle w:val="ListParagraph"/>
              <w:numPr>
                <w:ilvl w:val="0"/>
                <w:numId w:val="6"/>
              </w:numPr>
              <w:suppressAutoHyphens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Duration 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 xml:space="preserve">of </w:t>
            </w:r>
            <w:r w:rsidR="00212F2D" w:rsidRPr="00962F8F">
              <w:rPr>
                <w:rFonts w:ascii="Georgia" w:hAnsi="Georgia" w:cs="Arial"/>
                <w:sz w:val="18"/>
                <w:szCs w:val="18"/>
              </w:rPr>
              <w:t xml:space="preserve">the 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>credit (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i.e., 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 xml:space="preserve">long, </w:t>
            </w:r>
            <w:r w:rsidR="00B44AA6" w:rsidRPr="00962F8F">
              <w:rPr>
                <w:rFonts w:ascii="Georgia" w:hAnsi="Georgia" w:cs="Arial"/>
                <w:sz w:val="18"/>
                <w:szCs w:val="18"/>
              </w:rPr>
              <w:t>medium,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 xml:space="preserve"> or short term</w:t>
            </w:r>
            <w:proofErr w:type="gramStart"/>
            <w:r w:rsidR="002D0725" w:rsidRPr="00962F8F">
              <w:rPr>
                <w:rFonts w:ascii="Georgia" w:hAnsi="Georgia" w:cs="Arial"/>
                <w:sz w:val="18"/>
                <w:szCs w:val="18"/>
              </w:rPr>
              <w:t>)</w:t>
            </w:r>
            <w:r w:rsidR="00821A5C" w:rsidRPr="00962F8F">
              <w:rPr>
                <w:rFonts w:ascii="Georgia" w:hAnsi="Georgia" w:cs="Arial"/>
                <w:sz w:val="18"/>
                <w:szCs w:val="18"/>
              </w:rPr>
              <w:t>;</w:t>
            </w:r>
            <w:proofErr w:type="gramEnd"/>
          </w:p>
          <w:p w14:paraId="32BDDAF5" w14:textId="4BCC7940" w:rsidR="002D0725" w:rsidRPr="00962F8F" w:rsidRDefault="00212F2D" w:rsidP="00772D7C">
            <w:pPr>
              <w:pStyle w:val="ListParagraph"/>
              <w:numPr>
                <w:ilvl w:val="0"/>
                <w:numId w:val="6"/>
              </w:numPr>
              <w:suppressAutoHyphens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Client/project i</w:t>
            </w:r>
            <w:r w:rsidR="006770E3" w:rsidRPr="00962F8F">
              <w:rPr>
                <w:rFonts w:ascii="Georgia" w:hAnsi="Georgia" w:cs="Arial"/>
                <w:sz w:val="18"/>
                <w:szCs w:val="18"/>
              </w:rPr>
              <w:t xml:space="preserve">ndustry </w:t>
            </w:r>
            <w:r w:rsidR="00F46B2D" w:rsidRPr="00962F8F">
              <w:rPr>
                <w:rFonts w:ascii="Georgia" w:hAnsi="Georgia" w:cs="Arial"/>
                <w:sz w:val="18"/>
                <w:szCs w:val="18"/>
              </w:rPr>
              <w:t xml:space="preserve">sector 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 xml:space="preserve">focus </w:t>
            </w:r>
            <w:r w:rsidR="00FE69BC" w:rsidRPr="00962F8F">
              <w:rPr>
                <w:rFonts w:ascii="Georgia" w:hAnsi="Georgia" w:cs="Arial"/>
                <w:sz w:val="18"/>
                <w:szCs w:val="18"/>
              </w:rPr>
              <w:t>(i.e.</w:t>
            </w:r>
            <w:r w:rsidR="00ED04D5" w:rsidRPr="00962F8F">
              <w:rPr>
                <w:rFonts w:ascii="Georgia" w:hAnsi="Georgia" w:cs="Arial"/>
                <w:sz w:val="18"/>
                <w:szCs w:val="18"/>
              </w:rPr>
              <w:t>,</w:t>
            </w:r>
            <w:r w:rsidR="00FE69BC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962F8F">
              <w:rPr>
                <w:rFonts w:ascii="Georgia" w:hAnsi="Georgia" w:cs="Arial"/>
                <w:sz w:val="18"/>
                <w:szCs w:val="18"/>
              </w:rPr>
              <w:t>agriculture, infrastructure, manufacturing, energy, etc</w:t>
            </w:r>
            <w:proofErr w:type="gramStart"/>
            <w:r w:rsidR="00FE69BC" w:rsidRPr="00962F8F">
              <w:rPr>
                <w:rFonts w:ascii="Georgia" w:hAnsi="Georgia" w:cs="Arial"/>
                <w:sz w:val="18"/>
                <w:szCs w:val="18"/>
              </w:rPr>
              <w:t>)</w:t>
            </w:r>
            <w:r w:rsidR="00821A5C" w:rsidRPr="00962F8F">
              <w:rPr>
                <w:rFonts w:ascii="Georgia" w:hAnsi="Georgia" w:cs="Arial"/>
                <w:sz w:val="18"/>
                <w:szCs w:val="18"/>
              </w:rPr>
              <w:t>;</w:t>
            </w:r>
            <w:proofErr w:type="gramEnd"/>
          </w:p>
          <w:p w14:paraId="3885BFC6" w14:textId="399337EE" w:rsidR="002D0725" w:rsidRPr="00962F8F" w:rsidRDefault="00212F2D" w:rsidP="00ED04D5">
            <w:pPr>
              <w:pStyle w:val="ListParagraph"/>
              <w:numPr>
                <w:ilvl w:val="0"/>
                <w:numId w:val="6"/>
              </w:numPr>
              <w:suppressAutoHyphens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Client/project g</w:t>
            </w:r>
            <w:r w:rsidR="00FE69BC" w:rsidRPr="00962F8F">
              <w:rPr>
                <w:rFonts w:ascii="Georgia" w:hAnsi="Georgia" w:cs="Arial"/>
                <w:sz w:val="18"/>
                <w:szCs w:val="18"/>
              </w:rPr>
              <w:t xml:space="preserve">eographical 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 xml:space="preserve">focus </w:t>
            </w:r>
            <w:r w:rsidR="00FE69BC" w:rsidRPr="00962F8F">
              <w:rPr>
                <w:rFonts w:ascii="Georgia" w:hAnsi="Georgia" w:cs="Arial"/>
                <w:sz w:val="18"/>
                <w:szCs w:val="18"/>
              </w:rPr>
              <w:t>(</w:t>
            </w:r>
            <w:r w:rsidR="002569FB" w:rsidRPr="00962F8F">
              <w:rPr>
                <w:rFonts w:ascii="Georgia" w:hAnsi="Georgia" w:cs="Arial"/>
                <w:sz w:val="18"/>
                <w:szCs w:val="18"/>
              </w:rPr>
              <w:t>i.e.,</w:t>
            </w:r>
            <w:r w:rsidR="00FE69BC" w:rsidRPr="00962F8F">
              <w:rPr>
                <w:rFonts w:ascii="Georgia" w:hAnsi="Georgia" w:cs="Arial"/>
                <w:sz w:val="18"/>
                <w:szCs w:val="18"/>
              </w:rPr>
              <w:t xml:space="preserve"> country profile)</w:t>
            </w:r>
          </w:p>
          <w:p w14:paraId="7AE496E0" w14:textId="76456F75" w:rsidR="00B52BCF" w:rsidRPr="00962F8F" w:rsidRDefault="00212F2D" w:rsidP="00772D7C">
            <w:pPr>
              <w:pStyle w:val="ListParagraph"/>
              <w:numPr>
                <w:ilvl w:val="0"/>
                <w:numId w:val="6"/>
              </w:numPr>
              <w:suppressAutoHyphens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Stage of </w:t>
            </w:r>
            <w:r w:rsidR="00B52BCF" w:rsidRPr="00962F8F">
              <w:rPr>
                <w:rFonts w:ascii="Georgia" w:hAnsi="Georgia" w:cs="Arial"/>
                <w:sz w:val="18"/>
                <w:szCs w:val="18"/>
              </w:rPr>
              <w:t xml:space="preserve">project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lifecycle </w:t>
            </w:r>
            <w:r w:rsidR="00B52BCF" w:rsidRPr="00962F8F">
              <w:rPr>
                <w:rFonts w:ascii="Georgia" w:hAnsi="Georgia" w:cs="Arial"/>
                <w:sz w:val="18"/>
                <w:szCs w:val="18"/>
              </w:rPr>
              <w:t>(</w:t>
            </w:r>
            <w:r w:rsidR="00E4148A" w:rsidRPr="00962F8F">
              <w:rPr>
                <w:rFonts w:ascii="Georgia" w:hAnsi="Georgia" w:cs="Arial"/>
                <w:sz w:val="18"/>
                <w:szCs w:val="18"/>
              </w:rPr>
              <w:t>i.e.,</w:t>
            </w:r>
            <w:r w:rsidR="00B52BCF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962F8F">
              <w:rPr>
                <w:rFonts w:ascii="Georgia" w:hAnsi="Georgia" w:cs="Arial"/>
                <w:sz w:val="18"/>
                <w:szCs w:val="18"/>
              </w:rPr>
              <w:t>concept and design, construction, operational, etc)</w:t>
            </w:r>
          </w:p>
          <w:p w14:paraId="658339AA" w14:textId="54683FA9" w:rsidR="002D0725" w:rsidRPr="00962F8F" w:rsidRDefault="002D0725" w:rsidP="00772D7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5" w:hanging="175"/>
              <w:rPr>
                <w:rFonts w:ascii="Georgia" w:hAnsi="Georgia" w:cs="Arial"/>
                <w:b/>
                <w:i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Is this a repeat client</w:t>
            </w:r>
            <w:r w:rsidR="00065225" w:rsidRPr="00962F8F">
              <w:rPr>
                <w:rFonts w:ascii="Georgia" w:hAnsi="Georgia" w:cs="Arial"/>
                <w:sz w:val="18"/>
                <w:szCs w:val="18"/>
              </w:rPr>
              <w:t xml:space="preserve"> for the FI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? </w:t>
            </w:r>
            <w:r w:rsidR="00ED04D5" w:rsidRPr="00962F8F">
              <w:rPr>
                <w:rFonts w:ascii="Georgia" w:hAnsi="Georgia" w:cs="Arial"/>
                <w:sz w:val="18"/>
                <w:szCs w:val="18"/>
              </w:rPr>
              <w:t>If yes, a</w:t>
            </w:r>
            <w:r w:rsidR="00416B9E" w:rsidRPr="00962F8F">
              <w:rPr>
                <w:rFonts w:ascii="Georgia" w:hAnsi="Georgia" w:cs="Arial"/>
                <w:sz w:val="18"/>
                <w:szCs w:val="18"/>
              </w:rPr>
              <w:t>re there any previous records available</w:t>
            </w:r>
            <w:r w:rsidR="00ED04D5" w:rsidRPr="00962F8F">
              <w:rPr>
                <w:rFonts w:ascii="Georgia" w:hAnsi="Georgia" w:cs="Arial"/>
                <w:sz w:val="18"/>
                <w:szCs w:val="18"/>
              </w:rPr>
              <w:t xml:space="preserve"> for review</w:t>
            </w:r>
            <w:r w:rsidR="00416B9E" w:rsidRPr="00962F8F">
              <w:rPr>
                <w:rFonts w:ascii="Georgia" w:hAnsi="Georgia" w:cs="Arial"/>
                <w:sz w:val="18"/>
                <w:szCs w:val="18"/>
              </w:rPr>
              <w:t xml:space="preserve">? </w:t>
            </w:r>
          </w:p>
        </w:tc>
        <w:tc>
          <w:tcPr>
            <w:tcW w:w="2693" w:type="dxa"/>
            <w:shd w:val="clear" w:color="auto" w:fill="auto"/>
          </w:tcPr>
          <w:p w14:paraId="1AB73FD0" w14:textId="77777777" w:rsidR="002D0725" w:rsidRPr="00962F8F" w:rsidRDefault="002D0725" w:rsidP="00772D7C">
            <w:pPr>
              <w:suppressAutoHyphens/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Review:</w:t>
            </w:r>
          </w:p>
          <w:p w14:paraId="0317C903" w14:textId="0C652320" w:rsidR="002D0725" w:rsidRPr="00962F8F" w:rsidRDefault="002D0725" w:rsidP="00772D7C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1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Transaction application </w:t>
            </w:r>
          </w:p>
          <w:p w14:paraId="76481AF4" w14:textId="1F014D42" w:rsidR="002D0725" w:rsidRPr="00962F8F" w:rsidRDefault="002D0725" w:rsidP="00772D7C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1"/>
              <w:rPr>
                <w:rFonts w:ascii="Georgia" w:hAnsi="Georgia" w:cs="Arial"/>
                <w:b/>
                <w:i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Previous </w:t>
            </w:r>
            <w:proofErr w:type="gramStart"/>
            <w:r w:rsidRPr="00962F8F">
              <w:rPr>
                <w:rFonts w:ascii="Georgia" w:hAnsi="Georgia" w:cs="Arial"/>
                <w:sz w:val="18"/>
                <w:szCs w:val="18"/>
              </w:rPr>
              <w:t>records, if</w:t>
            </w:r>
            <w:proofErr w:type="gramEnd"/>
            <w:r w:rsidRPr="00962F8F">
              <w:rPr>
                <w:rFonts w:ascii="Georgia" w:hAnsi="Georgia" w:cs="Arial"/>
                <w:sz w:val="18"/>
                <w:szCs w:val="18"/>
              </w:rPr>
              <w:t xml:space="preserve"> repeat client </w:t>
            </w:r>
          </w:p>
        </w:tc>
        <w:tc>
          <w:tcPr>
            <w:tcW w:w="6096" w:type="dxa"/>
            <w:shd w:val="clear" w:color="auto" w:fill="auto"/>
          </w:tcPr>
          <w:p w14:paraId="00875FFE" w14:textId="391989E3" w:rsidR="00ED04D5" w:rsidRPr="00962F8F" w:rsidRDefault="00FD228B" w:rsidP="007E1F5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spacing w:after="0" w:line="240" w:lineRule="auto"/>
              <w:ind w:left="317" w:hanging="283"/>
              <w:rPr>
                <w:rFonts w:ascii="Georgia" w:hAnsi="Georgia"/>
                <w:b/>
                <w:i/>
              </w:rPr>
            </w:pPr>
            <w:r w:rsidRPr="00962F8F">
              <w:rPr>
                <w:rFonts w:ascii="Georgia" w:eastAsia="Times New Roman" w:hAnsi="Georgia" w:cs="Arial"/>
                <w:sz w:val="18"/>
                <w:szCs w:val="18"/>
                <w:lang w:val="en-GB" w:eastAsia="en-GB"/>
              </w:rPr>
              <w:t>Transaction details</w:t>
            </w:r>
            <w:r w:rsidR="007B33BA" w:rsidRPr="00962F8F">
              <w:rPr>
                <w:rFonts w:ascii="Georgia" w:eastAsia="Times New Roman" w:hAnsi="Georgia" w:cs="Arial"/>
                <w:sz w:val="18"/>
                <w:szCs w:val="18"/>
                <w:lang w:val="en-GB" w:eastAsia="en-GB"/>
              </w:rPr>
              <w:t xml:space="preserve"> will be contained in the project/client’s transaction application. </w:t>
            </w:r>
            <w:r w:rsidR="00B44AA6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>From an E&amp;S perspective, i</w:t>
            </w:r>
            <w:r w:rsidR="003705ED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 xml:space="preserve">t is important to understand </w:t>
            </w:r>
            <w:r w:rsidR="003D3D71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 xml:space="preserve">and contextualise </w:t>
            </w:r>
            <w:r w:rsidR="003705ED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 xml:space="preserve">the </w:t>
            </w:r>
            <w:r w:rsidR="003F1B08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 xml:space="preserve">type of </w:t>
            </w:r>
            <w:r w:rsidR="003705ED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>client</w:t>
            </w:r>
            <w:r w:rsidR="003F1B08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>/</w:t>
            </w:r>
            <w:r w:rsidR="00D101AA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>project a</w:t>
            </w:r>
            <w:r w:rsidR="003705ED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 xml:space="preserve">nd </w:t>
            </w:r>
            <w:r w:rsidR="00B44AA6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 xml:space="preserve">details of the </w:t>
            </w:r>
            <w:r w:rsidR="00D101AA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>prospective</w:t>
            </w:r>
            <w:r w:rsidR="00B44AA6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 xml:space="preserve"> </w:t>
            </w:r>
            <w:r w:rsidR="003705ED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>transaction</w:t>
            </w:r>
            <w:r w:rsidR="00B44AA6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 xml:space="preserve"> </w:t>
            </w:r>
            <w:r w:rsidR="003705ED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>as the</w:t>
            </w:r>
            <w:r w:rsidR="003705ED"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 xml:space="preserve"> </w:t>
            </w:r>
            <w:r w:rsidR="003705ED" w:rsidRPr="00962F8F">
              <w:rPr>
                <w:rFonts w:ascii="Georgia" w:hAnsi="Georgia" w:cs="Arial"/>
                <w:sz w:val="18"/>
                <w:szCs w:val="18"/>
              </w:rPr>
              <w:t>magnitude and types of E&amp;S risk</w:t>
            </w:r>
            <w:r w:rsidR="00CC1785" w:rsidRPr="00962F8F">
              <w:rPr>
                <w:rFonts w:ascii="Georgia" w:hAnsi="Georgia" w:cs="Arial"/>
                <w:sz w:val="18"/>
                <w:szCs w:val="18"/>
              </w:rPr>
              <w:t xml:space="preserve"> exposure </w:t>
            </w:r>
            <w:r w:rsidR="003705ED" w:rsidRPr="00962F8F">
              <w:rPr>
                <w:rFonts w:ascii="Georgia" w:hAnsi="Georgia" w:cs="Arial"/>
                <w:sz w:val="18"/>
                <w:szCs w:val="18"/>
              </w:rPr>
              <w:t xml:space="preserve">facing the FI </w:t>
            </w:r>
            <w:r w:rsidR="00CC1785" w:rsidRPr="00962F8F">
              <w:rPr>
                <w:rFonts w:ascii="Georgia" w:hAnsi="Georgia" w:cs="Arial"/>
                <w:sz w:val="18"/>
                <w:szCs w:val="18"/>
              </w:rPr>
              <w:t xml:space="preserve">varies </w:t>
            </w:r>
            <w:r w:rsidR="00CC1785" w:rsidRPr="00962F8F">
              <w:rPr>
                <w:rFonts w:ascii="Georgia" w:eastAsia="Times New Roman" w:hAnsi="Georgia" w:cs="Arial"/>
                <w:sz w:val="18"/>
                <w:szCs w:val="18"/>
                <w:lang w:val="en-GB" w:eastAsia="en-GB"/>
              </w:rPr>
              <w:t xml:space="preserve">significantly depending on the type of </w:t>
            </w:r>
            <w:r w:rsidR="003705ED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>transaction</w:t>
            </w:r>
            <w:r w:rsidR="002F356E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 xml:space="preserve"> (including </w:t>
            </w:r>
            <w:r w:rsidR="002F356E" w:rsidRPr="00962F8F">
              <w:rPr>
                <w:rFonts w:ascii="Georgia" w:hAnsi="Georgia" w:cs="Arial"/>
                <w:sz w:val="18"/>
                <w:szCs w:val="18"/>
              </w:rPr>
              <w:t>geographical and sectorial focus)</w:t>
            </w:r>
            <w:r w:rsidR="00CC1785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 xml:space="preserve">. </w:t>
            </w:r>
            <w:r w:rsidR="002F356E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 xml:space="preserve">These key </w:t>
            </w:r>
            <w:r w:rsidR="00CC1785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 xml:space="preserve">factors </w:t>
            </w:r>
            <w:r w:rsidR="002F356E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 xml:space="preserve">inform the E&amp;S risk categorisation process and influence the level of E&amp;S Due Diligence </w:t>
            </w:r>
            <w:r w:rsidR="006C7EA1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>(</w:t>
            </w:r>
            <w:r w:rsidR="004F1F4E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>ESDD</w:t>
            </w:r>
            <w:r w:rsidR="006C7EA1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 xml:space="preserve">) </w:t>
            </w:r>
            <w:r w:rsidR="002F356E" w:rsidRPr="00962F8F">
              <w:rPr>
                <w:rFonts w:ascii="Georgia" w:hAnsi="Georgia" w:cs="Arial"/>
                <w:bCs/>
                <w:iCs/>
                <w:sz w:val="18"/>
                <w:szCs w:val="18"/>
              </w:rPr>
              <w:t xml:space="preserve">undertaken. </w:t>
            </w:r>
          </w:p>
        </w:tc>
      </w:tr>
      <w:tr w:rsidR="002D0725" w:rsidRPr="00962F8F" w14:paraId="1F4565C3" w14:textId="77777777" w:rsidTr="007E1F59">
        <w:trPr>
          <w:trHeight w:val="251"/>
        </w:trPr>
        <w:tc>
          <w:tcPr>
            <w:tcW w:w="14142" w:type="dxa"/>
            <w:gridSpan w:val="3"/>
            <w:shd w:val="clear" w:color="auto" w:fill="C6D9F1" w:themeFill="text2" w:themeFillTint="33"/>
          </w:tcPr>
          <w:p w14:paraId="25433B44" w14:textId="2405B623" w:rsidR="002D0725" w:rsidRPr="00962F8F" w:rsidRDefault="002D0725" w:rsidP="00772D7C">
            <w:pPr>
              <w:suppressAutoHyphens/>
              <w:spacing w:after="0"/>
              <w:rPr>
                <w:rFonts w:ascii="Georgia" w:hAnsi="Georgia" w:cs="Arial"/>
                <w:b/>
                <w:i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 xml:space="preserve">E&amp;S Exclusion List </w:t>
            </w:r>
          </w:p>
        </w:tc>
      </w:tr>
      <w:tr w:rsidR="002D0725" w:rsidRPr="00962F8F" w14:paraId="12711E5C" w14:textId="77777777" w:rsidTr="00BC2550">
        <w:trPr>
          <w:trHeight w:val="196"/>
        </w:trPr>
        <w:tc>
          <w:tcPr>
            <w:tcW w:w="5353" w:type="dxa"/>
            <w:shd w:val="clear" w:color="auto" w:fill="auto"/>
          </w:tcPr>
          <w:p w14:paraId="252E7178" w14:textId="723CC401" w:rsidR="002D0725" w:rsidRPr="00962F8F" w:rsidRDefault="002D0725" w:rsidP="00772D7C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2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Does </w:t>
            </w:r>
            <w:r w:rsidR="002F356E" w:rsidRPr="00962F8F">
              <w:rPr>
                <w:rFonts w:ascii="Georgia" w:hAnsi="Georgia" w:cs="Arial"/>
                <w:sz w:val="18"/>
                <w:szCs w:val="18"/>
              </w:rPr>
              <w:t>the</w:t>
            </w:r>
            <w:r w:rsidR="00CC1785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transaction involve one or several activities included on the FI’s Exclusion List? </w:t>
            </w:r>
          </w:p>
          <w:p w14:paraId="26F8F80D" w14:textId="7FE1802C" w:rsidR="00331548" w:rsidRPr="00962F8F" w:rsidRDefault="002D0725" w:rsidP="00772D7C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2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lastRenderedPageBreak/>
              <w:t>If the client has various activities (</w:t>
            </w:r>
            <w:r w:rsidR="00CC1785" w:rsidRPr="00962F8F">
              <w:rPr>
                <w:rFonts w:ascii="Georgia" w:hAnsi="Georgia" w:cs="Arial"/>
                <w:sz w:val="18"/>
                <w:szCs w:val="18"/>
              </w:rPr>
              <w:t xml:space="preserve">i.e., </w:t>
            </w:r>
            <w:r w:rsidRPr="00962F8F">
              <w:rPr>
                <w:rFonts w:ascii="Georgia" w:hAnsi="Georgia" w:cs="Arial"/>
                <w:sz w:val="18"/>
                <w:szCs w:val="18"/>
              </w:rPr>
              <w:t>holding</w:t>
            </w:r>
            <w:r w:rsidR="00CC1785" w:rsidRPr="00962F8F">
              <w:rPr>
                <w:rFonts w:ascii="Georgia" w:hAnsi="Georgia" w:cs="Arial"/>
                <w:sz w:val="18"/>
                <w:szCs w:val="18"/>
              </w:rPr>
              <w:t xml:space="preserve"> company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, group, conglomerate, etc.), what is the share of its activities involved in the excluded </w:t>
            </w:r>
            <w:r w:rsidR="00410494" w:rsidRPr="00962F8F">
              <w:rPr>
                <w:rFonts w:ascii="Georgia" w:hAnsi="Georgia" w:cs="Arial"/>
                <w:sz w:val="18"/>
                <w:szCs w:val="18"/>
              </w:rPr>
              <w:t>activities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? </w:t>
            </w:r>
          </w:p>
        </w:tc>
        <w:tc>
          <w:tcPr>
            <w:tcW w:w="2693" w:type="dxa"/>
            <w:shd w:val="clear" w:color="auto" w:fill="auto"/>
          </w:tcPr>
          <w:p w14:paraId="35AFA1FC" w14:textId="723A0792" w:rsidR="002D0725" w:rsidRPr="00962F8F" w:rsidRDefault="00DE7C15" w:rsidP="007E1F59">
            <w:pPr>
              <w:suppressAutoHyphens/>
              <w:spacing w:after="0" w:line="240" w:lineRule="auto"/>
              <w:rPr>
                <w:rFonts w:ascii="Georgia" w:hAnsi="Georgia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lastRenderedPageBreak/>
              <w:t>Review</w:t>
            </w:r>
            <w:r w:rsidRPr="00962F8F">
              <w:rPr>
                <w:rFonts w:ascii="Georgia" w:hAnsi="Georgia"/>
              </w:rPr>
              <w:t xml:space="preserve">: </w:t>
            </w:r>
          </w:p>
          <w:p w14:paraId="12FBF9A5" w14:textId="0AC82B92" w:rsidR="002D0725" w:rsidRPr="00962F8F" w:rsidRDefault="002D0725" w:rsidP="00DE7C15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1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Transaction application </w:t>
            </w:r>
          </w:p>
          <w:p w14:paraId="3C3C3D38" w14:textId="25C506B7" w:rsidR="00DE7C15" w:rsidRPr="00962F8F" w:rsidRDefault="00DE7C15" w:rsidP="00772D7C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1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Previous </w:t>
            </w:r>
            <w:proofErr w:type="gramStart"/>
            <w:r w:rsidRPr="00962F8F">
              <w:rPr>
                <w:rFonts w:ascii="Georgia" w:hAnsi="Georgia" w:cs="Arial"/>
                <w:sz w:val="18"/>
                <w:szCs w:val="18"/>
              </w:rPr>
              <w:t>records, if</w:t>
            </w:r>
            <w:proofErr w:type="gramEnd"/>
            <w:r w:rsidRPr="00962F8F">
              <w:rPr>
                <w:rFonts w:ascii="Georgia" w:hAnsi="Georgia" w:cs="Arial"/>
                <w:sz w:val="18"/>
                <w:szCs w:val="18"/>
              </w:rPr>
              <w:t xml:space="preserve"> repeat client</w:t>
            </w:r>
          </w:p>
          <w:p w14:paraId="00D758A6" w14:textId="5B2E8991" w:rsidR="00A7098C" w:rsidRPr="00962F8F" w:rsidRDefault="00A7098C" w:rsidP="00ED04D5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1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lastRenderedPageBreak/>
              <w:t>FI</w:t>
            </w:r>
            <w:r w:rsidR="00004868" w:rsidRPr="00962F8F">
              <w:rPr>
                <w:rFonts w:ascii="Georgia" w:hAnsi="Georgia" w:cs="Arial"/>
                <w:sz w:val="18"/>
                <w:szCs w:val="18"/>
              </w:rPr>
              <w:t>’s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E</w:t>
            </w:r>
            <w:r w:rsidR="00004868" w:rsidRPr="00962F8F">
              <w:rPr>
                <w:rFonts w:ascii="Georgia" w:hAnsi="Georgia" w:cs="Arial"/>
                <w:sz w:val="18"/>
                <w:szCs w:val="18"/>
              </w:rPr>
              <w:t>&amp;</w:t>
            </w:r>
            <w:r w:rsidRPr="00962F8F">
              <w:rPr>
                <w:rFonts w:ascii="Georgia" w:hAnsi="Georgia" w:cs="Arial"/>
                <w:sz w:val="18"/>
                <w:szCs w:val="18"/>
              </w:rPr>
              <w:t>S</w:t>
            </w:r>
            <w:r w:rsidR="00004868" w:rsidRPr="00962F8F">
              <w:rPr>
                <w:rFonts w:ascii="Georgia" w:hAnsi="Georgia" w:cs="Arial"/>
                <w:sz w:val="18"/>
                <w:szCs w:val="18"/>
              </w:rPr>
              <w:t xml:space="preserve"> p</w:t>
            </w:r>
            <w:r w:rsidRPr="00962F8F">
              <w:rPr>
                <w:rFonts w:ascii="Georgia" w:hAnsi="Georgia" w:cs="Arial"/>
                <w:sz w:val="18"/>
                <w:szCs w:val="18"/>
              </w:rPr>
              <w:t>olicies</w:t>
            </w:r>
            <w:r w:rsidR="00004868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  <w:p w14:paraId="2169FDAC" w14:textId="1F8BBE49" w:rsidR="002D0725" w:rsidRPr="00962F8F" w:rsidRDefault="00C679A3" w:rsidP="00772D7C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1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FI</w:t>
            </w:r>
            <w:r w:rsidR="00004868" w:rsidRPr="00962F8F">
              <w:rPr>
                <w:rFonts w:ascii="Georgia" w:hAnsi="Georgia" w:cs="Arial"/>
                <w:sz w:val="18"/>
                <w:szCs w:val="18"/>
              </w:rPr>
              <w:t>’s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>E&amp;S Exclusion</w:t>
            </w:r>
            <w:r w:rsidR="00C42436" w:rsidRPr="00962F8F">
              <w:rPr>
                <w:rFonts w:ascii="Georgia" w:hAnsi="Georgia" w:cs="Arial"/>
                <w:sz w:val="18"/>
                <w:szCs w:val="18"/>
              </w:rPr>
              <w:t xml:space="preserve"> List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4BD0559C" w14:textId="1F7C7AAA" w:rsidR="002D0725" w:rsidRPr="00962F8F" w:rsidRDefault="002D0725" w:rsidP="00772D7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5" w:hanging="175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lastRenderedPageBreak/>
              <w:t xml:space="preserve">Every transaction should be screened against the FI’s exclusion list to ensure </w:t>
            </w:r>
            <w:r w:rsidR="0090496C" w:rsidRPr="00962F8F">
              <w:rPr>
                <w:rFonts w:ascii="Georgia" w:hAnsi="Georgia" w:cs="Arial"/>
                <w:sz w:val="18"/>
                <w:szCs w:val="18"/>
              </w:rPr>
              <w:t xml:space="preserve">that </w:t>
            </w:r>
            <w:r w:rsidRPr="00962F8F">
              <w:rPr>
                <w:rFonts w:ascii="Georgia" w:hAnsi="Georgia" w:cs="Arial"/>
                <w:sz w:val="18"/>
                <w:szCs w:val="18"/>
              </w:rPr>
              <w:t>no prohibited activities are triggered. If an exclusion is triggered,</w:t>
            </w:r>
            <w:r w:rsidR="00921652" w:rsidRPr="00962F8F">
              <w:rPr>
                <w:rFonts w:ascii="Georgia" w:hAnsi="Georgia" w:cs="Arial"/>
                <w:sz w:val="18"/>
                <w:szCs w:val="18"/>
              </w:rPr>
              <w:t xml:space="preserve"> the transaction should be </w:t>
            </w:r>
            <w:r w:rsidR="00004868" w:rsidRPr="00962F8F">
              <w:rPr>
                <w:rFonts w:ascii="Georgia" w:hAnsi="Georgia" w:cs="Arial"/>
                <w:sz w:val="18"/>
                <w:szCs w:val="18"/>
              </w:rPr>
              <w:t xml:space="preserve">rejected </w:t>
            </w:r>
            <w:r w:rsidR="00921652" w:rsidRPr="00962F8F">
              <w:rPr>
                <w:rFonts w:ascii="Georgia" w:hAnsi="Georgia" w:cs="Arial"/>
                <w:sz w:val="18"/>
                <w:szCs w:val="18"/>
              </w:rPr>
              <w:t xml:space="preserve">and </w:t>
            </w:r>
            <w:r w:rsidR="00A35E51" w:rsidRPr="00962F8F">
              <w:rPr>
                <w:rFonts w:ascii="Georgia" w:hAnsi="Georgia" w:cs="Arial"/>
                <w:sz w:val="18"/>
                <w:szCs w:val="18"/>
              </w:rPr>
              <w:t xml:space="preserve">the </w:t>
            </w:r>
            <w:r w:rsidR="00921652" w:rsidRPr="00962F8F">
              <w:rPr>
                <w:rFonts w:ascii="Georgia" w:hAnsi="Georgia" w:cs="Arial"/>
                <w:sz w:val="18"/>
                <w:szCs w:val="18"/>
              </w:rPr>
              <w:t>rationale</w:t>
            </w:r>
            <w:r w:rsidR="00A35E51" w:rsidRPr="00962F8F">
              <w:rPr>
                <w:rFonts w:ascii="Georgia" w:hAnsi="Georgia" w:cs="Arial"/>
                <w:sz w:val="18"/>
                <w:szCs w:val="18"/>
              </w:rPr>
              <w:t xml:space="preserve"> for th</w:t>
            </w:r>
            <w:r w:rsidR="005D619E" w:rsidRPr="00962F8F">
              <w:rPr>
                <w:rFonts w:ascii="Georgia" w:hAnsi="Georgia" w:cs="Arial"/>
                <w:sz w:val="18"/>
                <w:szCs w:val="18"/>
              </w:rPr>
              <w:t>is</w:t>
            </w:r>
            <w:r w:rsidR="00A35E51" w:rsidRPr="00962F8F">
              <w:rPr>
                <w:rFonts w:ascii="Georgia" w:hAnsi="Georgia" w:cs="Arial"/>
                <w:sz w:val="18"/>
                <w:szCs w:val="18"/>
              </w:rPr>
              <w:t xml:space="preserve"> decision</w:t>
            </w:r>
            <w:r w:rsidR="00921652" w:rsidRPr="00962F8F">
              <w:rPr>
                <w:rFonts w:ascii="Georgia" w:hAnsi="Georgia" w:cs="Arial"/>
                <w:sz w:val="18"/>
                <w:szCs w:val="18"/>
              </w:rPr>
              <w:t xml:space="preserve"> formally </w:t>
            </w:r>
            <w:r w:rsidRPr="00962F8F">
              <w:rPr>
                <w:rFonts w:ascii="Georgia" w:hAnsi="Georgia" w:cs="Arial"/>
                <w:sz w:val="18"/>
                <w:szCs w:val="18"/>
              </w:rPr>
              <w:t>documented</w:t>
            </w:r>
            <w:r w:rsidR="00921652" w:rsidRPr="00962F8F">
              <w:rPr>
                <w:rFonts w:ascii="Georgia" w:hAnsi="Georgia" w:cs="Arial"/>
                <w:sz w:val="18"/>
                <w:szCs w:val="18"/>
              </w:rPr>
              <w:t xml:space="preserve">. </w:t>
            </w:r>
          </w:p>
        </w:tc>
      </w:tr>
      <w:tr w:rsidR="002D0725" w:rsidRPr="00962F8F" w14:paraId="57C9B63B" w14:textId="77777777" w:rsidTr="00772D7C">
        <w:trPr>
          <w:trHeight w:val="251"/>
        </w:trPr>
        <w:tc>
          <w:tcPr>
            <w:tcW w:w="14142" w:type="dxa"/>
            <w:gridSpan w:val="3"/>
            <w:shd w:val="clear" w:color="auto" w:fill="C6D9F1" w:themeFill="text2" w:themeFillTint="33"/>
          </w:tcPr>
          <w:p w14:paraId="3C9C6B35" w14:textId="27C5016C" w:rsidR="002D0725" w:rsidRPr="00962F8F" w:rsidRDefault="002D0725" w:rsidP="003E3A68">
            <w:pPr>
              <w:keepNext/>
              <w:suppressAutoHyphens/>
              <w:spacing w:after="0" w:line="240" w:lineRule="auto"/>
              <w:rPr>
                <w:rFonts w:ascii="Georgia" w:hAnsi="Georgia" w:cs="Arial"/>
                <w:b/>
                <w:i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 xml:space="preserve">External Factors Review </w:t>
            </w:r>
          </w:p>
        </w:tc>
      </w:tr>
      <w:tr w:rsidR="002D0725" w:rsidRPr="00962F8F" w14:paraId="3942453D" w14:textId="77777777" w:rsidTr="00BC2550">
        <w:tc>
          <w:tcPr>
            <w:tcW w:w="5353" w:type="dxa"/>
            <w:shd w:val="clear" w:color="auto" w:fill="auto"/>
          </w:tcPr>
          <w:p w14:paraId="75082D68" w14:textId="46449C3B" w:rsidR="002D0725" w:rsidRPr="00962F8F" w:rsidRDefault="00BB0A8C" w:rsidP="00772D7C">
            <w:pPr>
              <w:pStyle w:val="ListParagraph"/>
              <w:numPr>
                <w:ilvl w:val="0"/>
                <w:numId w:val="5"/>
              </w:numPr>
              <w:suppressAutoHyphens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Has there been 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 xml:space="preserve">any allegations of bribery or corruption and/or money-laundering in relation to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the </w:t>
            </w:r>
            <w:r w:rsidR="00F3547A" w:rsidRPr="00962F8F">
              <w:rPr>
                <w:rFonts w:ascii="Georgia" w:hAnsi="Georgia" w:cs="Arial"/>
                <w:sz w:val="18"/>
                <w:szCs w:val="18"/>
              </w:rPr>
              <w:t>client</w:t>
            </w:r>
            <w:r w:rsidR="00586382" w:rsidRPr="00962F8F">
              <w:rPr>
                <w:rFonts w:ascii="Georgia" w:hAnsi="Georgia" w:cs="Arial"/>
                <w:sz w:val="18"/>
                <w:szCs w:val="18"/>
              </w:rPr>
              <w:t>/project</w:t>
            </w:r>
            <w:r w:rsidR="00AE7F96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962F8F">
              <w:rPr>
                <w:rFonts w:ascii="Georgia" w:hAnsi="Georgia" w:cs="Arial"/>
                <w:sz w:val="18"/>
                <w:szCs w:val="18"/>
              </w:rPr>
              <w:t>or its</w:t>
            </w:r>
            <w:r w:rsidR="00AE7F96" w:rsidRPr="00962F8F">
              <w:rPr>
                <w:rFonts w:ascii="Georgia" w:hAnsi="Georgia" w:cs="Arial"/>
                <w:sz w:val="18"/>
                <w:szCs w:val="18"/>
              </w:rPr>
              <w:t xml:space="preserve"> staff members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>?</w:t>
            </w:r>
          </w:p>
          <w:p w14:paraId="55C2D7D4" w14:textId="7F056858" w:rsidR="002D0725" w:rsidRPr="00962F8F" w:rsidRDefault="002D0725" w:rsidP="00772D7C">
            <w:pPr>
              <w:pStyle w:val="ListParagraph"/>
              <w:numPr>
                <w:ilvl w:val="0"/>
                <w:numId w:val="5"/>
              </w:numPr>
              <w:suppressAutoHyphens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Has the </w:t>
            </w:r>
            <w:r w:rsidR="00F3547A" w:rsidRPr="00962F8F">
              <w:rPr>
                <w:rFonts w:ascii="Georgia" w:hAnsi="Georgia" w:cs="Arial"/>
                <w:sz w:val="18"/>
                <w:szCs w:val="18"/>
              </w:rPr>
              <w:t>client</w:t>
            </w:r>
            <w:r w:rsidR="00586382" w:rsidRPr="00962F8F">
              <w:rPr>
                <w:rFonts w:ascii="Georgia" w:hAnsi="Georgia" w:cs="Arial"/>
                <w:sz w:val="18"/>
                <w:szCs w:val="18"/>
              </w:rPr>
              <w:t>/project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been subject to any class actions, </w:t>
            </w:r>
            <w:r w:rsidR="00AE7F96" w:rsidRPr="00962F8F">
              <w:rPr>
                <w:rFonts w:ascii="Georgia" w:hAnsi="Georgia" w:cs="Arial"/>
                <w:sz w:val="18"/>
                <w:szCs w:val="18"/>
              </w:rPr>
              <w:t>prosecutions,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or lawsuits in relation to E</w:t>
            </w:r>
            <w:r w:rsidR="005C3810" w:rsidRPr="00962F8F">
              <w:rPr>
                <w:rFonts w:ascii="Georgia" w:hAnsi="Georgia" w:cs="Arial"/>
                <w:sz w:val="18"/>
                <w:szCs w:val="18"/>
              </w:rPr>
              <w:t>&amp;</w:t>
            </w:r>
            <w:r w:rsidRPr="00962F8F">
              <w:rPr>
                <w:rFonts w:ascii="Georgia" w:hAnsi="Georgia" w:cs="Arial"/>
                <w:sz w:val="18"/>
                <w:szCs w:val="18"/>
              </w:rPr>
              <w:t>S issues?</w:t>
            </w:r>
          </w:p>
          <w:p w14:paraId="2EDED355" w14:textId="081FD98A" w:rsidR="002D0725" w:rsidRPr="00962F8F" w:rsidRDefault="002D0725" w:rsidP="00772D7C">
            <w:pPr>
              <w:pStyle w:val="ListParagraph"/>
              <w:numPr>
                <w:ilvl w:val="0"/>
                <w:numId w:val="5"/>
              </w:numPr>
              <w:suppressAutoHyphens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Has the </w:t>
            </w:r>
            <w:r w:rsidR="00F3547A" w:rsidRPr="00962F8F">
              <w:rPr>
                <w:rFonts w:ascii="Georgia" w:hAnsi="Georgia" w:cs="Arial"/>
                <w:sz w:val="18"/>
                <w:szCs w:val="18"/>
              </w:rPr>
              <w:t>clien</w:t>
            </w:r>
            <w:r w:rsidR="00586382" w:rsidRPr="00962F8F">
              <w:rPr>
                <w:rFonts w:ascii="Georgia" w:hAnsi="Georgia" w:cs="Arial"/>
                <w:sz w:val="18"/>
                <w:szCs w:val="18"/>
              </w:rPr>
              <w:t>t/project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been subject to any significant fines, penalties or claims associated with E</w:t>
            </w:r>
            <w:r w:rsidR="00AE7F96" w:rsidRPr="00962F8F">
              <w:rPr>
                <w:rFonts w:ascii="Georgia" w:hAnsi="Georgia" w:cs="Arial"/>
                <w:sz w:val="18"/>
                <w:szCs w:val="18"/>
              </w:rPr>
              <w:t>&amp;</w:t>
            </w:r>
            <w:r w:rsidRPr="00962F8F">
              <w:rPr>
                <w:rFonts w:ascii="Georgia" w:hAnsi="Georgia" w:cs="Arial"/>
                <w:sz w:val="18"/>
                <w:szCs w:val="18"/>
              </w:rPr>
              <w:t>S non-compliances</w:t>
            </w:r>
            <w:r w:rsidR="00AE7F96" w:rsidRPr="00962F8F">
              <w:rPr>
                <w:rFonts w:ascii="Georgia" w:hAnsi="Georgia" w:cs="Arial"/>
                <w:sz w:val="18"/>
                <w:szCs w:val="18"/>
              </w:rPr>
              <w:t>?</w:t>
            </w:r>
          </w:p>
          <w:p w14:paraId="78D4CBA5" w14:textId="65308CF3" w:rsidR="002D0725" w:rsidRPr="00962F8F" w:rsidRDefault="002D0725" w:rsidP="00772D7C">
            <w:pPr>
              <w:pStyle w:val="ListParagraph"/>
              <w:numPr>
                <w:ilvl w:val="0"/>
                <w:numId w:val="5"/>
              </w:numPr>
              <w:suppressAutoHyphens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Has there been any major labour issues (</w:t>
            </w:r>
            <w:r w:rsidR="00F3547A" w:rsidRPr="00962F8F">
              <w:rPr>
                <w:rFonts w:ascii="Georgia" w:hAnsi="Georgia" w:cs="Arial"/>
                <w:sz w:val="18"/>
                <w:szCs w:val="18"/>
              </w:rPr>
              <w:t>i.e.,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strikes, worker action, instances of child or forced labour, etc.)</w:t>
            </w:r>
            <w:r w:rsidR="00586382" w:rsidRPr="00962F8F">
              <w:rPr>
                <w:rFonts w:ascii="Georgia" w:hAnsi="Georgia" w:cs="Arial"/>
                <w:sz w:val="18"/>
                <w:szCs w:val="18"/>
              </w:rPr>
              <w:t xml:space="preserve"> associated with the </w:t>
            </w:r>
            <w:r w:rsidR="00F35A12" w:rsidRPr="00962F8F">
              <w:rPr>
                <w:rFonts w:ascii="Georgia" w:hAnsi="Georgia" w:cs="Arial"/>
                <w:sz w:val="18"/>
                <w:szCs w:val="18"/>
              </w:rPr>
              <w:t>client</w:t>
            </w:r>
            <w:r w:rsidR="00586382" w:rsidRPr="00962F8F">
              <w:rPr>
                <w:rFonts w:ascii="Georgia" w:hAnsi="Georgia" w:cs="Arial"/>
                <w:sz w:val="18"/>
                <w:szCs w:val="18"/>
              </w:rPr>
              <w:t>/</w:t>
            </w:r>
            <w:r w:rsidR="00F35A12" w:rsidRPr="00962F8F">
              <w:rPr>
                <w:rFonts w:ascii="Georgia" w:hAnsi="Georgia" w:cs="Arial"/>
                <w:sz w:val="18"/>
                <w:szCs w:val="18"/>
              </w:rPr>
              <w:t>project</w:t>
            </w:r>
            <w:r w:rsidRPr="00962F8F">
              <w:rPr>
                <w:rFonts w:ascii="Georgia" w:hAnsi="Georgia" w:cs="Arial"/>
                <w:sz w:val="18"/>
                <w:szCs w:val="18"/>
              </w:rPr>
              <w:t>?</w:t>
            </w:r>
          </w:p>
          <w:p w14:paraId="7F6F30F2" w14:textId="0C16CACD" w:rsidR="002D0725" w:rsidRPr="00962F8F" w:rsidRDefault="003D0C0D" w:rsidP="00772D7C">
            <w:pPr>
              <w:pStyle w:val="ListParagraph"/>
              <w:numPr>
                <w:ilvl w:val="0"/>
                <w:numId w:val="5"/>
              </w:numPr>
              <w:suppressAutoHyphens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Has there been/will there be any land acquisition because of the clients’</w:t>
            </w:r>
            <w:r w:rsidR="00B31663" w:rsidRPr="00962F8F">
              <w:rPr>
                <w:rFonts w:ascii="Georgia" w:hAnsi="Georgia" w:cs="Arial"/>
                <w:sz w:val="18"/>
                <w:szCs w:val="18"/>
              </w:rPr>
              <w:t xml:space="preserve"> activities/project which will result in 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 xml:space="preserve">physical or economical </w:t>
            </w:r>
            <w:r w:rsidR="00B31663" w:rsidRPr="00962F8F">
              <w:rPr>
                <w:rFonts w:ascii="Georgia" w:hAnsi="Georgia" w:cs="Arial"/>
                <w:sz w:val="18"/>
                <w:szCs w:val="18"/>
              </w:rPr>
              <w:t xml:space="preserve">displacement? </w:t>
            </w:r>
          </w:p>
          <w:p w14:paraId="798DDF56" w14:textId="037CE4AB" w:rsidR="002D0725" w:rsidRPr="00962F8F" w:rsidRDefault="002D0725" w:rsidP="00772D7C">
            <w:pPr>
              <w:pStyle w:val="ListParagraph"/>
              <w:numPr>
                <w:ilvl w:val="0"/>
                <w:numId w:val="5"/>
              </w:numPr>
              <w:suppressAutoHyphens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Ha</w:t>
            </w:r>
            <w:r w:rsidR="00F35A12" w:rsidRPr="00962F8F">
              <w:rPr>
                <w:rFonts w:ascii="Georgia" w:hAnsi="Georgia" w:cs="Arial"/>
                <w:sz w:val="18"/>
                <w:szCs w:val="18"/>
              </w:rPr>
              <w:t>s the client/project had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any significant complaints or grievances from external stakeholders, including NGO’s, interest groups or local communities</w:t>
            </w:r>
            <w:r w:rsidR="00F3547A" w:rsidRPr="00962F8F">
              <w:rPr>
                <w:rFonts w:ascii="Georgia" w:hAnsi="Georgia" w:cs="Arial"/>
                <w:sz w:val="18"/>
                <w:szCs w:val="18"/>
              </w:rPr>
              <w:t>?</w:t>
            </w:r>
          </w:p>
          <w:p w14:paraId="4A0F86AB" w14:textId="77777777" w:rsidR="002D0725" w:rsidRPr="00962F8F" w:rsidRDefault="0061063E" w:rsidP="00772D7C">
            <w:pPr>
              <w:pStyle w:val="ListParagraph"/>
              <w:numPr>
                <w:ilvl w:val="0"/>
                <w:numId w:val="5"/>
              </w:numPr>
              <w:suppressAutoHyphens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Has the client</w:t>
            </w:r>
            <w:r w:rsidR="00F35A12" w:rsidRPr="00962F8F">
              <w:rPr>
                <w:rFonts w:ascii="Georgia" w:hAnsi="Georgia" w:cs="Arial"/>
                <w:sz w:val="18"/>
                <w:szCs w:val="18"/>
              </w:rPr>
              <w:t>/project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undertaken any</w:t>
            </w:r>
            <w:r w:rsidR="00936DEC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8C1537" w:rsidRPr="00962F8F">
              <w:rPr>
                <w:rFonts w:ascii="Georgia" w:hAnsi="Georgia" w:cs="Arial"/>
                <w:sz w:val="18"/>
                <w:szCs w:val="18"/>
              </w:rPr>
              <w:t>large-scale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retrenchment</w:t>
            </w:r>
            <w:r w:rsidR="00936DEC" w:rsidRPr="00962F8F">
              <w:rPr>
                <w:rFonts w:ascii="Georgia" w:hAnsi="Georgia" w:cs="Arial"/>
                <w:sz w:val="18"/>
                <w:szCs w:val="18"/>
              </w:rPr>
              <w:t>s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? </w:t>
            </w:r>
          </w:p>
          <w:p w14:paraId="50FCAF26" w14:textId="60F9FC88" w:rsidR="00664B3A" w:rsidRPr="00962F8F" w:rsidRDefault="00664B3A" w:rsidP="00772D7C">
            <w:pPr>
              <w:pStyle w:val="ListParagraph"/>
              <w:numPr>
                <w:ilvl w:val="0"/>
                <w:numId w:val="5"/>
              </w:numPr>
              <w:suppressAutoHyphens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Has the client/project experienced multiple fatalities, </w:t>
            </w:r>
            <w:r w:rsidR="005069D7" w:rsidRPr="00962F8F">
              <w:rPr>
                <w:rFonts w:ascii="Georgia" w:hAnsi="Georgia" w:cs="Arial"/>
                <w:sz w:val="18"/>
                <w:szCs w:val="18"/>
              </w:rPr>
              <w:t>fire/explosion, environmental accident (chemical spills) or pollution?</w:t>
            </w:r>
          </w:p>
        </w:tc>
        <w:tc>
          <w:tcPr>
            <w:tcW w:w="2693" w:type="dxa"/>
            <w:shd w:val="clear" w:color="auto" w:fill="auto"/>
          </w:tcPr>
          <w:p w14:paraId="65EE403A" w14:textId="507DB468" w:rsidR="00ED6C05" w:rsidRPr="00962F8F" w:rsidRDefault="00ED6C05" w:rsidP="00772D7C">
            <w:pPr>
              <w:suppressAutoHyphens/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Hold meetings with (as appropriate): </w:t>
            </w:r>
          </w:p>
          <w:p w14:paraId="67BA1C6C" w14:textId="10E4A71A" w:rsidR="00C679A3" w:rsidRPr="00962F8F" w:rsidRDefault="001C32B7" w:rsidP="00C679A3">
            <w:pPr>
              <w:pStyle w:val="ListParagraph"/>
              <w:numPr>
                <w:ilvl w:val="0"/>
                <w:numId w:val="2"/>
              </w:numPr>
              <w:suppressAutoHyphens/>
              <w:ind w:left="176" w:hanging="176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Internal </w:t>
            </w:r>
            <w:r w:rsidR="00727EC4" w:rsidRPr="00962F8F">
              <w:rPr>
                <w:rFonts w:ascii="Georgia" w:hAnsi="Georgia" w:cs="Arial"/>
                <w:sz w:val="18"/>
                <w:szCs w:val="18"/>
              </w:rPr>
              <w:t xml:space="preserve">Sector </w:t>
            </w:r>
            <w:proofErr w:type="gramStart"/>
            <w:r w:rsidR="00727EC4" w:rsidRPr="00962F8F">
              <w:rPr>
                <w:rFonts w:ascii="Georgia" w:hAnsi="Georgia" w:cs="Arial"/>
                <w:sz w:val="18"/>
                <w:szCs w:val="18"/>
              </w:rPr>
              <w:t>Experts</w:t>
            </w:r>
            <w:r w:rsidRPr="00962F8F">
              <w:rPr>
                <w:rFonts w:ascii="Georgia" w:hAnsi="Georgia" w:cs="Arial"/>
                <w:sz w:val="18"/>
                <w:szCs w:val="18"/>
              </w:rPr>
              <w:t>, if</w:t>
            </w:r>
            <w:proofErr w:type="gramEnd"/>
            <w:r w:rsidRPr="00962F8F">
              <w:rPr>
                <w:rFonts w:ascii="Georgia" w:hAnsi="Georgia" w:cs="Arial"/>
                <w:sz w:val="18"/>
                <w:szCs w:val="18"/>
              </w:rPr>
              <w:t xml:space="preserve"> any</w:t>
            </w:r>
          </w:p>
          <w:p w14:paraId="0B8FD30C" w14:textId="68693885" w:rsidR="00647122" w:rsidRPr="00962F8F" w:rsidRDefault="00647122" w:rsidP="00647122">
            <w:pPr>
              <w:pStyle w:val="ListParagraph"/>
              <w:numPr>
                <w:ilvl w:val="0"/>
                <w:numId w:val="2"/>
              </w:numPr>
              <w:suppressAutoHyphens/>
              <w:ind w:left="176" w:hanging="176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Credit </w:t>
            </w:r>
            <w:r w:rsidR="00C679A3" w:rsidRPr="00962F8F">
              <w:rPr>
                <w:rFonts w:ascii="Georgia" w:hAnsi="Georgia" w:cs="Arial"/>
                <w:sz w:val="18"/>
                <w:szCs w:val="18"/>
              </w:rPr>
              <w:t xml:space="preserve">Analysts </w:t>
            </w:r>
          </w:p>
          <w:p w14:paraId="163017E5" w14:textId="20D9148C" w:rsidR="00933D43" w:rsidRPr="00933D43" w:rsidRDefault="00933D43" w:rsidP="00933D43">
            <w:pPr>
              <w:pStyle w:val="ListParagraph"/>
              <w:numPr>
                <w:ilvl w:val="0"/>
                <w:numId w:val="2"/>
              </w:numPr>
              <w:suppressAutoHyphens/>
              <w:ind w:left="176" w:hanging="176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Syndication partners</w:t>
            </w:r>
          </w:p>
          <w:p w14:paraId="4BF1A2B2" w14:textId="77777777" w:rsidR="00ED6C05" w:rsidRPr="00962F8F" w:rsidRDefault="00ED6C05" w:rsidP="00772D7C">
            <w:pPr>
              <w:suppressAutoHyphens/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Review:</w:t>
            </w:r>
          </w:p>
          <w:p w14:paraId="39280CBE" w14:textId="12C1C499" w:rsidR="00ED6C05" w:rsidRPr="00962F8F" w:rsidRDefault="007E5B91" w:rsidP="00772D7C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1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Publicly available information</w:t>
            </w:r>
            <w:r w:rsidR="00727EC4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  <w:p w14:paraId="0284E6FB" w14:textId="77777777" w:rsidR="00727EC4" w:rsidRPr="00962F8F" w:rsidRDefault="00727EC4" w:rsidP="00727EC4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1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Previous </w:t>
            </w:r>
            <w:proofErr w:type="gramStart"/>
            <w:r w:rsidRPr="00962F8F">
              <w:rPr>
                <w:rFonts w:ascii="Georgia" w:hAnsi="Georgia" w:cs="Arial"/>
                <w:sz w:val="18"/>
                <w:szCs w:val="18"/>
              </w:rPr>
              <w:t>records, if</w:t>
            </w:r>
            <w:proofErr w:type="gramEnd"/>
            <w:r w:rsidRPr="00962F8F">
              <w:rPr>
                <w:rFonts w:ascii="Georgia" w:hAnsi="Georgia" w:cs="Arial"/>
                <w:sz w:val="18"/>
                <w:szCs w:val="18"/>
              </w:rPr>
              <w:t xml:space="preserve"> repeat client</w:t>
            </w:r>
          </w:p>
          <w:p w14:paraId="03A010A6" w14:textId="67CEFFBC" w:rsidR="002D0725" w:rsidRPr="00962F8F" w:rsidRDefault="002D0725" w:rsidP="00772D7C">
            <w:pPr>
              <w:suppressAutoHyphens/>
              <w:spacing w:after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14:paraId="3B0351FD" w14:textId="3F5B5AEE" w:rsidR="002D0725" w:rsidRPr="00962F8F" w:rsidRDefault="00727EC4" w:rsidP="00727EC4">
            <w:pPr>
              <w:pStyle w:val="ListParagraph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175" w:hanging="175"/>
              <w:rPr>
                <w:rFonts w:ascii="Georgia" w:hAnsi="Georgia" w:cs="Arial"/>
                <w:sz w:val="18"/>
                <w:szCs w:val="18"/>
              </w:rPr>
            </w:pPr>
            <w:proofErr w:type="gramStart"/>
            <w:r w:rsidRPr="00962F8F">
              <w:rPr>
                <w:rFonts w:ascii="Georgia" w:hAnsi="Georgia" w:cs="Arial"/>
                <w:sz w:val="18"/>
                <w:szCs w:val="18"/>
              </w:rPr>
              <w:t>In order to</w:t>
            </w:r>
            <w:proofErr w:type="gramEnd"/>
            <w:r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5C3810" w:rsidRPr="00962F8F">
              <w:rPr>
                <w:rFonts w:ascii="Georgia" w:hAnsi="Georgia" w:cs="Arial"/>
                <w:sz w:val="18"/>
                <w:szCs w:val="18"/>
              </w:rPr>
              <w:t>identify any</w:t>
            </w:r>
            <w:r w:rsidR="005C3810" w:rsidRPr="00962F8F">
              <w:rPr>
                <w:rFonts w:ascii="Georgia" w:hAnsi="Georgia"/>
              </w:rPr>
              <w:t xml:space="preserve"> </w:t>
            </w:r>
            <w:r w:rsidR="005C3810" w:rsidRPr="00962F8F">
              <w:rPr>
                <w:rFonts w:ascii="Georgia" w:hAnsi="Georgia" w:cs="Arial"/>
                <w:sz w:val="18"/>
                <w:szCs w:val="18"/>
              </w:rPr>
              <w:t xml:space="preserve">historical records of E&amp;S issues </w:t>
            </w:r>
            <w:r w:rsidRPr="00962F8F">
              <w:rPr>
                <w:rFonts w:ascii="Georgia" w:hAnsi="Georgia" w:cs="Arial"/>
                <w:sz w:val="18"/>
                <w:szCs w:val="18"/>
              </w:rPr>
              <w:t>associated with the</w:t>
            </w:r>
            <w:r w:rsidR="005C3810" w:rsidRPr="00962F8F">
              <w:rPr>
                <w:rFonts w:ascii="Georgia" w:hAnsi="Georgia" w:cs="Arial"/>
                <w:sz w:val="18"/>
                <w:szCs w:val="18"/>
              </w:rPr>
              <w:t xml:space="preserve"> client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/project, the FI should perform </w:t>
            </w:r>
            <w:r w:rsidR="005C3810" w:rsidRPr="00962F8F">
              <w:rPr>
                <w:rFonts w:ascii="Georgia" w:hAnsi="Georgia" w:cs="Arial"/>
                <w:sz w:val="18"/>
                <w:szCs w:val="18"/>
              </w:rPr>
              <w:t xml:space="preserve">an External Factors Review (EFR). An EFR involves 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 xml:space="preserve">reviewing public sources of information </w:t>
            </w:r>
            <w:r w:rsidR="00B54682" w:rsidRPr="00962F8F">
              <w:rPr>
                <w:rFonts w:ascii="Georgia" w:hAnsi="Georgia" w:cs="Arial"/>
                <w:sz w:val="18"/>
                <w:szCs w:val="18"/>
              </w:rPr>
              <w:t>in a methodological and systemic manner</w:t>
            </w:r>
            <w:r w:rsidR="00B54682" w:rsidRPr="00962F8F" w:rsidDel="00B54682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B54682" w:rsidRPr="00962F8F">
              <w:rPr>
                <w:rFonts w:ascii="Georgia" w:hAnsi="Georgia" w:cs="Arial"/>
                <w:sz w:val="18"/>
                <w:szCs w:val="18"/>
              </w:rPr>
              <w:t xml:space="preserve">by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searching 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>key words (</w:t>
            </w:r>
            <w:r w:rsidR="00331548" w:rsidRPr="00962F8F">
              <w:rPr>
                <w:rFonts w:ascii="Georgia" w:hAnsi="Georgia" w:cs="Arial"/>
                <w:sz w:val="18"/>
                <w:szCs w:val="18"/>
              </w:rPr>
              <w:t>e.g.,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717BDA" w:rsidRPr="00962F8F">
              <w:rPr>
                <w:rFonts w:ascii="Georgia" w:hAnsi="Georgia" w:cs="Arial"/>
                <w:sz w:val="18"/>
                <w:szCs w:val="18"/>
              </w:rPr>
              <w:t>client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/project 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 xml:space="preserve">name, </w:t>
            </w:r>
            <w:r w:rsidR="0019485B" w:rsidRPr="00962F8F">
              <w:rPr>
                <w:rFonts w:ascii="Georgia" w:hAnsi="Georgia" w:cs="Arial"/>
                <w:sz w:val="18"/>
                <w:szCs w:val="18"/>
              </w:rPr>
              <w:t>executive management</w:t>
            </w:r>
            <w:r w:rsidR="005C3810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>name</w:t>
            </w:r>
            <w:r w:rsidR="005C3810" w:rsidRPr="00962F8F">
              <w:rPr>
                <w:rFonts w:ascii="Georgia" w:hAnsi="Georgia" w:cs="Arial"/>
                <w:sz w:val="18"/>
                <w:szCs w:val="18"/>
              </w:rPr>
              <w:t xml:space="preserve">s, 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>physical addresses</w:t>
            </w:r>
            <w:r w:rsidR="005C3810" w:rsidRPr="00962F8F">
              <w:rPr>
                <w:rFonts w:ascii="Georgia" w:hAnsi="Georgia" w:cs="Arial"/>
                <w:sz w:val="18"/>
                <w:szCs w:val="18"/>
              </w:rPr>
              <w:t>, countr</w:t>
            </w:r>
            <w:r w:rsidRPr="00962F8F">
              <w:rPr>
                <w:rFonts w:ascii="Georgia" w:hAnsi="Georgia" w:cs="Arial"/>
                <w:sz w:val="18"/>
                <w:szCs w:val="18"/>
              </w:rPr>
              <w:t>ies</w:t>
            </w:r>
            <w:r w:rsidR="005C3810" w:rsidRPr="00962F8F">
              <w:rPr>
                <w:rFonts w:ascii="Georgia" w:hAnsi="Georgia" w:cs="Arial"/>
                <w:sz w:val="18"/>
                <w:szCs w:val="18"/>
              </w:rPr>
              <w:t>,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human rights, labour strikes, fines,</w:t>
            </w:r>
            <w:r w:rsidR="005C3810" w:rsidRPr="00962F8F">
              <w:rPr>
                <w:rFonts w:ascii="Georgia" w:hAnsi="Georgia" w:cs="Arial"/>
                <w:sz w:val="18"/>
                <w:szCs w:val="18"/>
              </w:rPr>
              <w:t xml:space="preserve"> etc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>)</w:t>
            </w:r>
            <w:r w:rsidR="00B54682" w:rsidRPr="00962F8F">
              <w:rPr>
                <w:rFonts w:ascii="Georgia" w:hAnsi="Georgia" w:cs="Arial"/>
                <w:sz w:val="18"/>
                <w:szCs w:val="18"/>
              </w:rPr>
              <w:t xml:space="preserve"> and recording any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key</w:t>
            </w:r>
            <w:r w:rsidR="00B54682" w:rsidRPr="00962F8F">
              <w:rPr>
                <w:rFonts w:ascii="Georgia" w:hAnsi="Georgia" w:cs="Arial"/>
                <w:sz w:val="18"/>
                <w:szCs w:val="18"/>
              </w:rPr>
              <w:t xml:space="preserve"> findings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>.</w:t>
            </w:r>
            <w:r w:rsidR="00B0004C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5C3810" w:rsidRPr="00962F8F">
              <w:rPr>
                <w:rFonts w:ascii="Georgia" w:hAnsi="Georgia" w:cs="Arial"/>
                <w:sz w:val="18"/>
                <w:szCs w:val="18"/>
              </w:rPr>
              <w:t>Example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public</w:t>
            </w:r>
            <w:r w:rsidR="005C3810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B54682" w:rsidRPr="00962F8F">
              <w:rPr>
                <w:rFonts w:ascii="Georgia" w:hAnsi="Georgia" w:cs="Arial"/>
                <w:sz w:val="18"/>
                <w:szCs w:val="18"/>
              </w:rPr>
              <w:t>re</w:t>
            </w:r>
            <w:r w:rsidR="005C3810" w:rsidRPr="00962F8F">
              <w:rPr>
                <w:rFonts w:ascii="Georgia" w:hAnsi="Georgia" w:cs="Arial"/>
                <w:sz w:val="18"/>
                <w:szCs w:val="18"/>
              </w:rPr>
              <w:t>s</w:t>
            </w:r>
            <w:r w:rsidR="00B0004C" w:rsidRPr="00962F8F">
              <w:rPr>
                <w:rFonts w:ascii="Georgia" w:hAnsi="Georgia" w:cs="Arial"/>
                <w:sz w:val="18"/>
                <w:szCs w:val="18"/>
              </w:rPr>
              <w:t xml:space="preserve">ources may include: </w:t>
            </w:r>
          </w:p>
          <w:p w14:paraId="6430FF54" w14:textId="77777777" w:rsidR="00B0004C" w:rsidRPr="00962F8F" w:rsidRDefault="00B0004C" w:rsidP="003E3A68">
            <w:pPr>
              <w:pStyle w:val="ListParagraph"/>
              <w:keepNext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Company website and annual reports.</w:t>
            </w:r>
          </w:p>
          <w:p w14:paraId="46C0244A" w14:textId="77777777" w:rsidR="00B0004C" w:rsidRPr="00962F8F" w:rsidRDefault="00B0004C" w:rsidP="003E3A68">
            <w:pPr>
              <w:pStyle w:val="ListParagraph"/>
              <w:keepNext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Google Search and Google Maps satellite view to show the layout of the client’s company or project operations and their proximity to other land uses – residential, rivers, natural habitats etc.</w:t>
            </w:r>
          </w:p>
          <w:p w14:paraId="543CFE80" w14:textId="6BA0F3F7" w:rsidR="00B0004C" w:rsidRPr="00962F8F" w:rsidRDefault="00B0004C" w:rsidP="003E3A68">
            <w:pPr>
              <w:pStyle w:val="ListParagraph"/>
              <w:keepNext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Media search (e.g. via internet and specialist data providers, online media aggregators and social media)</w:t>
            </w:r>
            <w:r w:rsidR="00CF3EC6" w:rsidRPr="00962F8F">
              <w:rPr>
                <w:rFonts w:ascii="Georgia" w:hAnsi="Georgia" w:cs="Arial"/>
                <w:sz w:val="18"/>
                <w:szCs w:val="18"/>
              </w:rPr>
              <w:t>.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  <w:p w14:paraId="42FC699D" w14:textId="77777777" w:rsidR="00B0004C" w:rsidRPr="00962F8F" w:rsidRDefault="00B0004C" w:rsidP="003E3A68">
            <w:pPr>
              <w:pStyle w:val="ListParagraph"/>
              <w:keepNext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Comparison to competitors (where reliable information is available).</w:t>
            </w:r>
          </w:p>
          <w:p w14:paraId="686C8233" w14:textId="50BEE6FE" w:rsidR="00B0004C" w:rsidRPr="00962F8F" w:rsidRDefault="00B0004C" w:rsidP="003E3A68">
            <w:pPr>
              <w:pStyle w:val="ListParagraph"/>
              <w:keepNext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Co-</w:t>
            </w:r>
            <w:r w:rsidR="00933D43">
              <w:rPr>
                <w:rFonts w:ascii="Georgia" w:hAnsi="Georgia" w:cs="Arial"/>
                <w:sz w:val="18"/>
                <w:szCs w:val="18"/>
              </w:rPr>
              <w:t>financers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(DFIs, other FIs, etc.) sometimes disclose the findings of their </w:t>
            </w:r>
            <w:r w:rsidR="004F1F4E" w:rsidRPr="00962F8F">
              <w:rPr>
                <w:rFonts w:ascii="Georgia" w:hAnsi="Georgia" w:cs="Arial"/>
                <w:sz w:val="18"/>
                <w:szCs w:val="18"/>
              </w:rPr>
              <w:t>ESDD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for clients</w:t>
            </w:r>
            <w:r w:rsidR="00727EC4" w:rsidRPr="00962F8F">
              <w:rPr>
                <w:rFonts w:ascii="Georgia" w:hAnsi="Georgia" w:cs="Arial"/>
                <w:sz w:val="18"/>
                <w:szCs w:val="18"/>
              </w:rPr>
              <w:t>/</w:t>
            </w:r>
            <w:r w:rsidRPr="00962F8F">
              <w:rPr>
                <w:rFonts w:ascii="Georgia" w:hAnsi="Georgia" w:cs="Arial"/>
                <w:sz w:val="18"/>
                <w:szCs w:val="18"/>
              </w:rPr>
              <w:t>projects in which they invest (</w:t>
            </w:r>
            <w:r w:rsidR="00727EC4" w:rsidRPr="00962F8F">
              <w:rPr>
                <w:rFonts w:ascii="Georgia" w:hAnsi="Georgia" w:cs="Arial"/>
                <w:sz w:val="18"/>
                <w:szCs w:val="18"/>
              </w:rPr>
              <w:t>e.g.,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hyperlink r:id="rId17" w:history="1">
              <w:r w:rsidR="00E14B32" w:rsidRPr="00962F8F">
                <w:rPr>
                  <w:rStyle w:val="Hyperlink"/>
                  <w:rFonts w:ascii="Georgia" w:hAnsi="Georgia" w:cs="Arial"/>
                  <w:sz w:val="20"/>
                  <w:szCs w:val="20"/>
                </w:rPr>
                <w:t xml:space="preserve"> IFC Projects Database</w:t>
              </w:r>
            </w:hyperlink>
            <w:r w:rsidR="00E14B32" w:rsidRPr="00962F8F">
              <w:rPr>
                <w:rFonts w:ascii="Georgia" w:hAnsi="Georgia" w:cs="Arial"/>
                <w:sz w:val="20"/>
                <w:szCs w:val="20"/>
              </w:rPr>
              <w:t>)</w:t>
            </w:r>
            <w:r w:rsidRPr="00962F8F">
              <w:rPr>
                <w:rFonts w:ascii="Georgia" w:hAnsi="Georgia" w:cs="Arial"/>
                <w:sz w:val="18"/>
                <w:szCs w:val="18"/>
              </w:rPr>
              <w:t>.</w:t>
            </w:r>
          </w:p>
          <w:p w14:paraId="23D18E06" w14:textId="55545A11" w:rsidR="002D0725" w:rsidRPr="00962F8F" w:rsidRDefault="00965C84" w:rsidP="003E3A68">
            <w:pPr>
              <w:pStyle w:val="ListParagraph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175" w:hanging="175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Where possible, t</w:t>
            </w:r>
            <w:r w:rsidR="00F34BA8" w:rsidRPr="00962F8F">
              <w:rPr>
                <w:rFonts w:ascii="Georgia" w:hAnsi="Georgia" w:cs="Arial"/>
                <w:sz w:val="18"/>
                <w:szCs w:val="18"/>
              </w:rPr>
              <w:t xml:space="preserve">he EFR findings </w:t>
            </w:r>
            <w:r w:rsidR="00AE73FB" w:rsidRPr="00962F8F">
              <w:rPr>
                <w:rFonts w:ascii="Georgia" w:hAnsi="Georgia" w:cs="Arial"/>
                <w:sz w:val="18"/>
                <w:szCs w:val="18"/>
              </w:rPr>
              <w:t xml:space="preserve">can </w:t>
            </w:r>
            <w:r w:rsidR="00F34BA8" w:rsidRPr="00962F8F">
              <w:rPr>
                <w:rFonts w:ascii="Georgia" w:hAnsi="Georgia" w:cs="Arial"/>
                <w:sz w:val="18"/>
                <w:szCs w:val="18"/>
              </w:rPr>
              <w:t xml:space="preserve">be </w:t>
            </w:r>
            <w:r w:rsidR="00AE7F96" w:rsidRPr="00962F8F">
              <w:rPr>
                <w:rFonts w:ascii="Georgia" w:hAnsi="Georgia" w:cs="Arial"/>
                <w:sz w:val="18"/>
                <w:szCs w:val="18"/>
              </w:rPr>
              <w:t>supplemented by a r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>eview any information provided to the FI through preliminary engagement with the prospective client or other informants / stakeholders (i.e. potential co-</w:t>
            </w:r>
            <w:r w:rsidR="000F7EE5">
              <w:rPr>
                <w:rFonts w:ascii="Georgia" w:hAnsi="Georgia" w:cs="Arial"/>
                <w:sz w:val="18"/>
                <w:szCs w:val="18"/>
              </w:rPr>
              <w:t>finance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>r</w:t>
            </w:r>
            <w:r w:rsidR="000F7EE5">
              <w:rPr>
                <w:rFonts w:ascii="Georgia" w:hAnsi="Georgia" w:cs="Arial"/>
                <w:sz w:val="18"/>
                <w:szCs w:val="18"/>
              </w:rPr>
              <w:t>s</w:t>
            </w:r>
            <w:r w:rsidR="002D0725" w:rsidRPr="00962F8F">
              <w:rPr>
                <w:rFonts w:ascii="Georgia" w:hAnsi="Georgia" w:cs="Arial"/>
                <w:sz w:val="18"/>
                <w:szCs w:val="18"/>
              </w:rPr>
              <w:t xml:space="preserve">, industry bodies, etc.).  </w:t>
            </w:r>
          </w:p>
        </w:tc>
      </w:tr>
      <w:tr w:rsidR="002D0725" w:rsidRPr="00962F8F" w14:paraId="4BA5608B" w14:textId="77777777" w:rsidTr="00772D7C">
        <w:tc>
          <w:tcPr>
            <w:tcW w:w="14142" w:type="dxa"/>
            <w:gridSpan w:val="3"/>
            <w:shd w:val="clear" w:color="auto" w:fill="C6D9F1"/>
          </w:tcPr>
          <w:p w14:paraId="253DB715" w14:textId="377352A0" w:rsidR="002D0725" w:rsidRPr="00962F8F" w:rsidRDefault="0061063E" w:rsidP="00772D7C">
            <w:pPr>
              <w:suppressAutoHyphens/>
              <w:spacing w:after="0"/>
              <w:rPr>
                <w:rFonts w:ascii="Georgia" w:hAnsi="Georgia"/>
              </w:rPr>
            </w:pPr>
            <w:r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 xml:space="preserve">E&amp;S </w:t>
            </w:r>
            <w:r w:rsidR="002D0725"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 xml:space="preserve">Risk Categorisation </w:t>
            </w:r>
          </w:p>
        </w:tc>
      </w:tr>
      <w:tr w:rsidR="002D0725" w:rsidRPr="00962F8F" w14:paraId="73475F82" w14:textId="77777777" w:rsidTr="00BC2550">
        <w:trPr>
          <w:trHeight w:val="1588"/>
        </w:trPr>
        <w:tc>
          <w:tcPr>
            <w:tcW w:w="5353" w:type="dxa"/>
            <w:shd w:val="clear" w:color="auto" w:fill="auto"/>
          </w:tcPr>
          <w:p w14:paraId="04E9FFB7" w14:textId="77777777" w:rsidR="00410494" w:rsidRPr="00962F8F" w:rsidRDefault="00410494" w:rsidP="003B79A2">
            <w:pPr>
              <w:pStyle w:val="ListParagraph"/>
              <w:numPr>
                <w:ilvl w:val="0"/>
                <w:numId w:val="4"/>
              </w:numPr>
              <w:suppressAutoHyphens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What are the </w:t>
            </w:r>
            <w:proofErr w:type="gramStart"/>
            <w:r w:rsidRPr="00962F8F">
              <w:rPr>
                <w:rFonts w:ascii="Georgia" w:hAnsi="Georgia" w:cs="Arial"/>
                <w:sz w:val="18"/>
                <w:szCs w:val="18"/>
              </w:rPr>
              <w:t>high level</w:t>
            </w:r>
            <w:proofErr w:type="gramEnd"/>
            <w:r w:rsidRPr="00962F8F">
              <w:rPr>
                <w:rFonts w:ascii="Georgia" w:hAnsi="Georgia" w:cs="Arial"/>
                <w:sz w:val="18"/>
                <w:szCs w:val="18"/>
              </w:rPr>
              <w:t xml:space="preserve"> material E&amp;S risks, impacts and opportunities associated with the clients/projects? </w:t>
            </w:r>
          </w:p>
          <w:p w14:paraId="6A1BDED5" w14:textId="11AE4168" w:rsidR="00445526" w:rsidRPr="00962F8F" w:rsidRDefault="00C03355" w:rsidP="006B0677">
            <w:pPr>
              <w:pStyle w:val="ListParagraph"/>
              <w:numPr>
                <w:ilvl w:val="0"/>
                <w:numId w:val="4"/>
              </w:numPr>
              <w:suppressAutoHyphens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Does the client/project trigger </w:t>
            </w:r>
            <w:r w:rsidR="003F071C" w:rsidRPr="00962F8F">
              <w:rPr>
                <w:rFonts w:ascii="Georgia" w:hAnsi="Georgia" w:cs="Arial"/>
                <w:sz w:val="18"/>
                <w:szCs w:val="18"/>
              </w:rPr>
              <w:t xml:space="preserve">IFC PS 5 to 8 (i.e., </w:t>
            </w:r>
            <w:r w:rsidR="00C30D95" w:rsidRPr="00962F8F">
              <w:rPr>
                <w:rFonts w:ascii="Georgia" w:hAnsi="Georgia" w:cs="Arial"/>
                <w:sz w:val="18"/>
                <w:szCs w:val="18"/>
              </w:rPr>
              <w:t xml:space="preserve">land acquisition and </w:t>
            </w:r>
            <w:r w:rsidR="003F071C" w:rsidRPr="00962F8F">
              <w:rPr>
                <w:rFonts w:ascii="Georgia" w:hAnsi="Georgia" w:cs="Arial"/>
                <w:sz w:val="18"/>
                <w:szCs w:val="18"/>
              </w:rPr>
              <w:t>resettlement, Indigenous people, cultural heritage, biodiversity loss, etc.)?</w:t>
            </w:r>
          </w:p>
        </w:tc>
        <w:tc>
          <w:tcPr>
            <w:tcW w:w="2693" w:type="dxa"/>
            <w:shd w:val="clear" w:color="auto" w:fill="auto"/>
          </w:tcPr>
          <w:p w14:paraId="2BA7FFC6" w14:textId="77777777" w:rsidR="00DF7A19" w:rsidRPr="00962F8F" w:rsidRDefault="00DF7A19" w:rsidP="00772D7C">
            <w:pPr>
              <w:suppressAutoHyphens/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Review:</w:t>
            </w:r>
          </w:p>
          <w:p w14:paraId="7E64626A" w14:textId="67F31AFF" w:rsidR="00DF7A19" w:rsidRPr="00962F8F" w:rsidRDefault="00DF7A19" w:rsidP="00772D7C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1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Preliminary </w:t>
            </w:r>
            <w:r w:rsidR="00673D02" w:rsidRPr="00962F8F">
              <w:rPr>
                <w:rFonts w:ascii="Georgia" w:hAnsi="Georgia" w:cs="Arial"/>
                <w:sz w:val="18"/>
                <w:szCs w:val="18"/>
              </w:rPr>
              <w:t xml:space="preserve">document </w:t>
            </w:r>
            <w:r w:rsidR="003B79A2" w:rsidRPr="00962F8F">
              <w:rPr>
                <w:rFonts w:ascii="Georgia" w:hAnsi="Georgia" w:cs="Arial"/>
                <w:sz w:val="18"/>
                <w:szCs w:val="18"/>
              </w:rPr>
              <w:t>review</w:t>
            </w:r>
          </w:p>
          <w:p w14:paraId="45D65830" w14:textId="43D5F1AF" w:rsidR="00DF7A19" w:rsidRPr="00962F8F" w:rsidRDefault="00DF7A19" w:rsidP="00772D7C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1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Transaction application </w:t>
            </w:r>
          </w:p>
          <w:p w14:paraId="2C34D88C" w14:textId="779D1981" w:rsidR="00DF7A19" w:rsidRPr="00962F8F" w:rsidRDefault="00460437" w:rsidP="00772D7C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1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E&amp;S </w:t>
            </w:r>
            <w:r w:rsidR="00DF7A19" w:rsidRPr="00962F8F">
              <w:rPr>
                <w:rFonts w:ascii="Georgia" w:hAnsi="Georgia" w:cs="Arial"/>
                <w:sz w:val="18"/>
                <w:szCs w:val="18"/>
              </w:rPr>
              <w:t xml:space="preserve">Sector </w:t>
            </w:r>
            <w:r w:rsidRPr="00962F8F">
              <w:rPr>
                <w:rFonts w:ascii="Georgia" w:hAnsi="Georgia" w:cs="Arial"/>
                <w:sz w:val="18"/>
                <w:szCs w:val="18"/>
              </w:rPr>
              <w:t>Profiles</w:t>
            </w:r>
          </w:p>
          <w:p w14:paraId="60E85A8E" w14:textId="3A696835" w:rsidR="00460437" w:rsidRPr="00962F8F" w:rsidRDefault="00460437" w:rsidP="00772D7C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1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E&amp;S </w:t>
            </w:r>
            <w:r w:rsidR="00CA5EB5" w:rsidRPr="00962F8F">
              <w:rPr>
                <w:rFonts w:ascii="Georgia" w:hAnsi="Georgia" w:cs="Arial"/>
                <w:sz w:val="18"/>
                <w:szCs w:val="18"/>
              </w:rPr>
              <w:t>Guidelines</w:t>
            </w:r>
          </w:p>
          <w:p w14:paraId="670C2B2A" w14:textId="5CF5C2D2" w:rsidR="00DF7A19" w:rsidRPr="00962F8F" w:rsidRDefault="00DF7A19" w:rsidP="00772D7C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1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E&amp;S Risk </w:t>
            </w:r>
            <w:r w:rsidR="003B79A2" w:rsidRPr="00962F8F">
              <w:rPr>
                <w:rFonts w:ascii="Georgia" w:hAnsi="Georgia" w:cs="Arial"/>
                <w:sz w:val="18"/>
                <w:szCs w:val="18"/>
              </w:rPr>
              <w:t xml:space="preserve">Categorisation System </w:t>
            </w:r>
          </w:p>
          <w:p w14:paraId="22758152" w14:textId="77777777" w:rsidR="002D0725" w:rsidRPr="00962F8F" w:rsidRDefault="002D0725" w:rsidP="00772D7C">
            <w:pPr>
              <w:suppressAutoHyphens/>
              <w:ind w:left="176"/>
              <w:contextualSpacing/>
              <w:rPr>
                <w:rFonts w:ascii="Georgia" w:hAnsi="Georgia" w:cs="Arial"/>
                <w:sz w:val="18"/>
                <w:szCs w:val="18"/>
              </w:rPr>
            </w:pPr>
          </w:p>
          <w:p w14:paraId="54F82897" w14:textId="1AD8CA11" w:rsidR="002D0725" w:rsidRPr="00962F8F" w:rsidRDefault="002D0725" w:rsidP="00772D7C">
            <w:pPr>
              <w:suppressAutoHyphens/>
              <w:spacing w:after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14:paraId="47EB6849" w14:textId="7E0A214E" w:rsidR="00CD3AB8" w:rsidRPr="00962F8F" w:rsidRDefault="00CD3AB8" w:rsidP="00CD3AB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spacing w:after="0" w:line="240" w:lineRule="auto"/>
              <w:ind w:left="317" w:hanging="283"/>
              <w:rPr>
                <w:rFonts w:ascii="Georgia" w:hAnsi="Georgia" w:cs="Arial"/>
                <w:color w:val="0070C0"/>
                <w:sz w:val="18"/>
                <w:szCs w:val="18"/>
                <w:u w:val="single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Prospective transactions should be assessed on a case-by-case basis, to account for inherent sector and </w:t>
            </w:r>
            <w:r w:rsidR="00B04223" w:rsidRPr="00962F8F">
              <w:rPr>
                <w:rFonts w:ascii="Georgia" w:hAnsi="Georgia" w:cs="Arial"/>
                <w:sz w:val="18"/>
                <w:szCs w:val="18"/>
              </w:rPr>
              <w:t>country/geographic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CF3EC6" w:rsidRPr="00962F8F">
              <w:rPr>
                <w:rFonts w:ascii="Georgia" w:hAnsi="Georgia" w:cs="Arial"/>
                <w:sz w:val="18"/>
                <w:szCs w:val="18"/>
              </w:rPr>
              <w:t xml:space="preserve">specific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risks as well as </w:t>
            </w:r>
            <w:r w:rsidR="00B04223" w:rsidRPr="00962F8F">
              <w:rPr>
                <w:rFonts w:ascii="Georgia" w:hAnsi="Georgia" w:cs="Arial"/>
                <w:sz w:val="18"/>
                <w:szCs w:val="18"/>
              </w:rPr>
              <w:t xml:space="preserve">any </w:t>
            </w:r>
            <w:r w:rsidRPr="00962F8F">
              <w:rPr>
                <w:rFonts w:ascii="Georgia" w:hAnsi="Georgia" w:cs="Arial"/>
                <w:sz w:val="18"/>
                <w:szCs w:val="18"/>
              </w:rPr>
              <w:t>specific transaction risks. For example, some transactions may not present the same E&amp;S risks or impacts than other transactions within the same sector or industry.</w:t>
            </w:r>
            <w:r w:rsidR="00460437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03488C" w:rsidRPr="00962F8F">
              <w:rPr>
                <w:rFonts w:ascii="Georgia" w:hAnsi="Georgia" w:cs="Arial"/>
                <w:sz w:val="18"/>
                <w:szCs w:val="18"/>
              </w:rPr>
              <w:t>See the</w:t>
            </w:r>
            <w:r w:rsidR="00460437" w:rsidRPr="00962F8F">
              <w:rPr>
                <w:rFonts w:ascii="Georgia" w:hAnsi="Georgia" w:cs="Arial"/>
                <w:sz w:val="18"/>
                <w:szCs w:val="18"/>
              </w:rPr>
              <w:t xml:space="preserve"> E&amp;S Risk Sector Profile Table below </w:t>
            </w:r>
            <w:r w:rsidR="0003488C" w:rsidRPr="00962F8F">
              <w:rPr>
                <w:rFonts w:ascii="Georgia" w:hAnsi="Georgia" w:cs="Arial"/>
                <w:sz w:val="18"/>
                <w:szCs w:val="18"/>
              </w:rPr>
              <w:t xml:space="preserve">for </w:t>
            </w:r>
            <w:r w:rsidR="00CA5EB5" w:rsidRPr="00962F8F">
              <w:rPr>
                <w:rFonts w:ascii="Georgia" w:hAnsi="Georgia" w:cs="Arial"/>
                <w:sz w:val="18"/>
                <w:szCs w:val="18"/>
              </w:rPr>
              <w:t>additional</w:t>
            </w:r>
            <w:r w:rsidR="0003488C" w:rsidRPr="00962F8F">
              <w:rPr>
                <w:rFonts w:ascii="Georgia" w:hAnsi="Georgia" w:cs="Arial"/>
                <w:sz w:val="18"/>
                <w:szCs w:val="18"/>
              </w:rPr>
              <w:t xml:space="preserve"> guidance. </w:t>
            </w:r>
          </w:p>
          <w:p w14:paraId="4F5636EC" w14:textId="68BA53FB" w:rsidR="008E1B3D" w:rsidRPr="00962F8F" w:rsidRDefault="008E1B3D" w:rsidP="007760D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spacing w:after="0" w:line="240" w:lineRule="auto"/>
              <w:ind w:left="317" w:hanging="283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Key supporting </w:t>
            </w:r>
            <w:r w:rsidR="00060B14" w:rsidRPr="00962F8F">
              <w:rPr>
                <w:rFonts w:ascii="Georgia" w:hAnsi="Georgia" w:cs="Arial"/>
                <w:sz w:val="18"/>
                <w:szCs w:val="18"/>
              </w:rPr>
              <w:t xml:space="preserve">sectorial </w:t>
            </w:r>
            <w:r w:rsidRPr="00962F8F">
              <w:rPr>
                <w:rFonts w:ascii="Georgia" w:hAnsi="Georgia" w:cs="Arial"/>
                <w:sz w:val="18"/>
                <w:szCs w:val="18"/>
              </w:rPr>
              <w:t>resources</w:t>
            </w:r>
            <w:r w:rsidR="00060B14" w:rsidRPr="00962F8F">
              <w:rPr>
                <w:rFonts w:ascii="Georgia" w:hAnsi="Georgia" w:cs="Arial"/>
                <w:sz w:val="18"/>
                <w:szCs w:val="18"/>
              </w:rPr>
              <w:t>/guidelines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to help identify any material E&amp;S risks, impacts and opportunities associated with the transaction include </w:t>
            </w:r>
            <w:r w:rsidRPr="00962F8F">
              <w:rPr>
                <w:rFonts w:ascii="Georgia" w:hAnsi="Georgia" w:cs="Arial"/>
                <w:color w:val="0070C0"/>
                <w:sz w:val="18"/>
                <w:szCs w:val="18"/>
                <w:u w:val="single"/>
              </w:rPr>
              <w:t>CDC Sector Profiles, E&amp;S Briefing Notes</w:t>
            </w:r>
            <w:r w:rsidR="00992F12" w:rsidRPr="00962F8F">
              <w:rPr>
                <w:rFonts w:ascii="Georgia" w:hAnsi="Georgia" w:cs="Arial"/>
                <w:color w:val="0070C0"/>
                <w:sz w:val="18"/>
                <w:szCs w:val="18"/>
                <w:u w:val="single"/>
              </w:rPr>
              <w:t>,</w:t>
            </w:r>
            <w:r w:rsidRPr="00962F8F">
              <w:rPr>
                <w:rFonts w:ascii="Georgia" w:hAnsi="Georgia" w:cs="Arial"/>
                <w:color w:val="0070C0"/>
                <w:sz w:val="18"/>
                <w:szCs w:val="18"/>
                <w:u w:val="single"/>
              </w:rPr>
              <w:t xml:space="preserve"> </w:t>
            </w:r>
            <w:hyperlink r:id="rId18" w:history="1">
              <w:r w:rsidRPr="00962F8F">
                <w:rPr>
                  <w:rStyle w:val="Hyperlink"/>
                  <w:rFonts w:ascii="Georgia" w:hAnsi="Georgia" w:cs="Arial"/>
                  <w:sz w:val="18"/>
                  <w:szCs w:val="18"/>
                </w:rPr>
                <w:t>IFC Performance Standards</w:t>
              </w:r>
            </w:hyperlink>
            <w:r w:rsidRPr="00962F8F">
              <w:rPr>
                <w:rFonts w:ascii="Georgia" w:hAnsi="Georgia" w:cs="Arial"/>
                <w:color w:val="0070C0"/>
                <w:sz w:val="18"/>
                <w:szCs w:val="18"/>
                <w:u w:val="single"/>
              </w:rPr>
              <w:t xml:space="preserve">, </w:t>
            </w:r>
            <w:hyperlink r:id="rId19" w:history="1">
              <w:r w:rsidRPr="00962F8F">
                <w:rPr>
                  <w:rStyle w:val="Hyperlink"/>
                  <w:rFonts w:ascii="Georgia" w:hAnsi="Georgia" w:cs="Arial"/>
                  <w:sz w:val="18"/>
                  <w:szCs w:val="18"/>
                </w:rPr>
                <w:t xml:space="preserve">World Bank General and Sectorial </w:t>
              </w:r>
              <w:r w:rsidRPr="00962F8F">
                <w:rPr>
                  <w:rStyle w:val="Hyperlink"/>
                  <w:rFonts w:ascii="Georgia" w:hAnsi="Georgia" w:cs="Arial"/>
                  <w:sz w:val="18"/>
                  <w:szCs w:val="18"/>
                </w:rPr>
                <w:lastRenderedPageBreak/>
                <w:t>Environmental Health and Safety (EHS) Guidelines</w:t>
              </w:r>
            </w:hyperlink>
            <w:r w:rsidRPr="00962F8F">
              <w:rPr>
                <w:rFonts w:ascii="Georgia" w:hAnsi="Georgia" w:cs="Arial"/>
                <w:color w:val="0070C0"/>
                <w:sz w:val="18"/>
                <w:szCs w:val="18"/>
                <w:u w:val="single"/>
              </w:rPr>
              <w:t xml:space="preserve">, </w:t>
            </w:r>
            <w:hyperlink r:id="rId20" w:history="1">
              <w:r w:rsidRPr="00962F8F">
                <w:rPr>
                  <w:rStyle w:val="Hyperlink"/>
                  <w:rFonts w:ascii="Georgia" w:hAnsi="Georgia" w:cs="Arial"/>
                  <w:sz w:val="18"/>
                  <w:szCs w:val="18"/>
                </w:rPr>
                <w:t>ILO Fundamental Conventions,</w:t>
              </w:r>
            </w:hyperlink>
            <w:r w:rsidRPr="00962F8F">
              <w:rPr>
                <w:rFonts w:ascii="Georgia" w:hAnsi="Georgia" w:cs="Arial"/>
                <w:color w:val="0070C0"/>
                <w:sz w:val="18"/>
                <w:szCs w:val="18"/>
                <w:u w:val="single"/>
              </w:rPr>
              <w:t xml:space="preserve"> etc</w:t>
            </w:r>
            <w:r w:rsidRPr="00962F8F">
              <w:rPr>
                <w:rFonts w:ascii="Georgia" w:hAnsi="Georgia" w:cs="Arial"/>
                <w:sz w:val="18"/>
                <w:szCs w:val="18"/>
              </w:rPr>
              <w:t>.</w:t>
            </w:r>
          </w:p>
          <w:p w14:paraId="3D616B8C" w14:textId="64A09E95" w:rsidR="00B558E6" w:rsidRPr="00962F8F" w:rsidRDefault="00CD3AB8" w:rsidP="00B558E6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spacing w:after="0" w:line="240" w:lineRule="auto"/>
              <w:ind w:left="317" w:hanging="283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Some transaction specific factors that should be considered </w:t>
            </w:r>
            <w:r w:rsidR="005575B0" w:rsidRPr="00962F8F">
              <w:rPr>
                <w:rFonts w:ascii="Georgia" w:hAnsi="Georgia" w:cs="Arial"/>
                <w:sz w:val="18"/>
                <w:szCs w:val="18"/>
              </w:rPr>
              <w:t xml:space="preserve">which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may influence the E&amp;S risk categorisation include the clients/projects use of proceeds, </w:t>
            </w:r>
            <w:r w:rsidR="00060B14" w:rsidRPr="00962F8F">
              <w:rPr>
                <w:rFonts w:ascii="Georgia" w:hAnsi="Georgia" w:cs="Arial"/>
                <w:sz w:val="18"/>
                <w:szCs w:val="18"/>
              </w:rPr>
              <w:t xml:space="preserve">clients/projects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nature of subsidiaries, client/projects business plan; </w:t>
            </w:r>
            <w:r w:rsidR="00060B14" w:rsidRPr="00962F8F">
              <w:rPr>
                <w:rFonts w:ascii="Georgia" w:hAnsi="Georgia" w:cs="Arial"/>
                <w:sz w:val="18"/>
                <w:szCs w:val="18"/>
              </w:rPr>
              <w:t xml:space="preserve">clients/projects </w:t>
            </w:r>
            <w:r w:rsidRPr="00962F8F">
              <w:rPr>
                <w:rFonts w:ascii="Georgia" w:hAnsi="Georgia" w:cs="Arial"/>
                <w:sz w:val="18"/>
                <w:szCs w:val="18"/>
              </w:rPr>
              <w:t>sector focus;</w:t>
            </w:r>
            <w:r w:rsidR="00060B14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type of technology/techniques; scale of </w:t>
            </w:r>
            <w:r w:rsidR="00060B14" w:rsidRPr="00962F8F">
              <w:rPr>
                <w:rFonts w:ascii="Georgia" w:hAnsi="Georgia" w:cs="Arial"/>
                <w:sz w:val="18"/>
                <w:szCs w:val="18"/>
              </w:rPr>
              <w:t xml:space="preserve">clients/projects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operations; location of </w:t>
            </w:r>
            <w:r w:rsidR="00060B14" w:rsidRPr="00962F8F">
              <w:rPr>
                <w:rFonts w:ascii="Georgia" w:hAnsi="Georgia" w:cs="Arial"/>
                <w:sz w:val="18"/>
                <w:szCs w:val="18"/>
              </w:rPr>
              <w:t xml:space="preserve">clients/projects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operations; </w:t>
            </w:r>
            <w:r w:rsidR="00060B14" w:rsidRPr="00962F8F">
              <w:rPr>
                <w:rFonts w:ascii="Georgia" w:hAnsi="Georgia" w:cs="Arial"/>
                <w:sz w:val="18"/>
                <w:szCs w:val="18"/>
              </w:rPr>
              <w:t xml:space="preserve">clients/projects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use of contractors and </w:t>
            </w:r>
            <w:r w:rsidR="00CE2AFA" w:rsidRPr="00962F8F">
              <w:rPr>
                <w:rFonts w:ascii="Georgia" w:hAnsi="Georgia" w:cs="Arial"/>
                <w:sz w:val="18"/>
                <w:szCs w:val="18"/>
              </w:rPr>
              <w:t xml:space="preserve">risks related to the </w:t>
            </w:r>
            <w:r w:rsidRPr="00962F8F">
              <w:rPr>
                <w:rFonts w:ascii="Georgia" w:hAnsi="Georgia" w:cs="Arial"/>
                <w:sz w:val="18"/>
                <w:szCs w:val="18"/>
              </w:rPr>
              <w:t>supply chain.</w:t>
            </w:r>
          </w:p>
          <w:p w14:paraId="13D93F84" w14:textId="1361798E" w:rsidR="007760DB" w:rsidRPr="00962F8F" w:rsidRDefault="00CD3AB8" w:rsidP="00B558E6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spacing w:after="0" w:line="240" w:lineRule="auto"/>
              <w:ind w:left="317" w:hanging="283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To determine and </w:t>
            </w:r>
            <w:r w:rsidR="00883603" w:rsidRPr="00962F8F">
              <w:rPr>
                <w:rFonts w:ascii="Georgia" w:hAnsi="Georgia" w:cs="Arial"/>
                <w:sz w:val="18"/>
                <w:szCs w:val="18"/>
              </w:rPr>
              <w:t>categori</w:t>
            </w:r>
            <w:r w:rsidR="00B558E6" w:rsidRPr="00962F8F">
              <w:rPr>
                <w:rFonts w:ascii="Georgia" w:hAnsi="Georgia" w:cs="Arial"/>
                <w:sz w:val="18"/>
                <w:szCs w:val="18"/>
              </w:rPr>
              <w:t>se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the </w:t>
            </w:r>
            <w:r w:rsidR="00883603" w:rsidRPr="00962F8F">
              <w:rPr>
                <w:rFonts w:ascii="Georgia" w:hAnsi="Georgia" w:cs="Arial"/>
                <w:sz w:val="18"/>
                <w:szCs w:val="18"/>
              </w:rPr>
              <w:t>transaction,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in a systematic and consistent manner</w:t>
            </w:r>
            <w:r w:rsidR="00883603" w:rsidRPr="00962F8F">
              <w:rPr>
                <w:rFonts w:ascii="Georgia" w:hAnsi="Georgia" w:cs="Arial"/>
                <w:sz w:val="18"/>
                <w:szCs w:val="18"/>
              </w:rPr>
              <w:t xml:space="preserve">,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according to its E&amp;S risk exposure, an appropriate E&amp;S risk </w:t>
            </w:r>
            <w:r w:rsidR="00883603" w:rsidRPr="00962F8F">
              <w:rPr>
                <w:rFonts w:ascii="Georgia" w:hAnsi="Georgia" w:cs="Arial"/>
                <w:sz w:val="18"/>
                <w:szCs w:val="18"/>
              </w:rPr>
              <w:t>categorisations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883603" w:rsidRPr="00962F8F">
              <w:rPr>
                <w:rFonts w:ascii="Georgia" w:hAnsi="Georgia" w:cs="Arial"/>
                <w:sz w:val="18"/>
                <w:szCs w:val="18"/>
              </w:rPr>
              <w:t>s</w:t>
            </w:r>
            <w:r w:rsidRPr="00962F8F">
              <w:rPr>
                <w:rFonts w:ascii="Georgia" w:hAnsi="Georgia" w:cs="Arial"/>
                <w:sz w:val="18"/>
                <w:szCs w:val="18"/>
              </w:rPr>
              <w:t>yste</w:t>
            </w:r>
            <w:r w:rsidR="00883603" w:rsidRPr="00962F8F">
              <w:rPr>
                <w:rFonts w:ascii="Georgia" w:hAnsi="Georgia" w:cs="Arial"/>
                <w:sz w:val="18"/>
                <w:szCs w:val="18"/>
              </w:rPr>
              <w:t>m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should be </w:t>
            </w:r>
            <w:r w:rsidR="00CA5EB5" w:rsidRPr="00962F8F">
              <w:rPr>
                <w:rFonts w:ascii="Georgia" w:hAnsi="Georgia" w:cs="Arial"/>
                <w:sz w:val="18"/>
                <w:szCs w:val="18"/>
              </w:rPr>
              <w:t>utilised</w:t>
            </w:r>
            <w:r w:rsidR="00B558E6" w:rsidRPr="00962F8F">
              <w:rPr>
                <w:rFonts w:ascii="Georgia" w:hAnsi="Georgia" w:cs="Arial"/>
                <w:sz w:val="18"/>
                <w:szCs w:val="18"/>
              </w:rPr>
              <w:t xml:space="preserve"> by FI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.  </w:t>
            </w:r>
            <w:r w:rsidR="0003488C" w:rsidRPr="00962F8F">
              <w:rPr>
                <w:rFonts w:ascii="Georgia" w:hAnsi="Georgia" w:cs="Arial"/>
                <w:sz w:val="18"/>
                <w:szCs w:val="18"/>
              </w:rPr>
              <w:t>See the</w:t>
            </w:r>
            <w:r w:rsidR="00D655D4" w:rsidRPr="00962F8F">
              <w:rPr>
                <w:rFonts w:ascii="Georgia" w:hAnsi="Georgia" w:cs="Arial"/>
                <w:sz w:val="18"/>
                <w:szCs w:val="18"/>
              </w:rPr>
              <w:t xml:space="preserve"> CDC’s Inherent E&amp;S </w:t>
            </w:r>
            <w:r w:rsidR="00514984" w:rsidRPr="00962F8F">
              <w:rPr>
                <w:rFonts w:ascii="Georgia" w:hAnsi="Georgia" w:cs="Arial"/>
                <w:sz w:val="18"/>
                <w:szCs w:val="18"/>
              </w:rPr>
              <w:t xml:space="preserve">Risks/Impacts Categorisation System </w:t>
            </w:r>
            <w:r w:rsidR="00136769" w:rsidRPr="00962F8F">
              <w:rPr>
                <w:rFonts w:ascii="Georgia" w:hAnsi="Georgia" w:cs="Arial"/>
                <w:sz w:val="18"/>
                <w:szCs w:val="18"/>
              </w:rPr>
              <w:t>below</w:t>
            </w:r>
            <w:r w:rsidR="00E8485B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03488C" w:rsidRPr="00962F8F">
              <w:rPr>
                <w:rFonts w:ascii="Georgia" w:hAnsi="Georgia" w:cs="Arial"/>
                <w:sz w:val="18"/>
                <w:szCs w:val="18"/>
              </w:rPr>
              <w:t xml:space="preserve">for </w:t>
            </w:r>
            <w:r w:rsidR="00CA5EB5" w:rsidRPr="00962F8F">
              <w:rPr>
                <w:rFonts w:ascii="Georgia" w:hAnsi="Georgia" w:cs="Arial"/>
                <w:sz w:val="18"/>
                <w:szCs w:val="18"/>
              </w:rPr>
              <w:t>additional</w:t>
            </w:r>
            <w:r w:rsidR="0003488C" w:rsidRPr="00962F8F">
              <w:rPr>
                <w:rFonts w:ascii="Georgia" w:hAnsi="Georgia" w:cs="Arial"/>
                <w:sz w:val="18"/>
                <w:szCs w:val="18"/>
              </w:rPr>
              <w:t xml:space="preserve"> guidance.</w:t>
            </w:r>
            <w:r w:rsidR="00D655D4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007EC0" w:rsidRPr="00962F8F">
              <w:rPr>
                <w:rFonts w:ascii="Georgia" w:hAnsi="Georgia" w:cs="Arial"/>
                <w:sz w:val="18"/>
                <w:szCs w:val="18"/>
              </w:rPr>
              <w:t>E</w:t>
            </w:r>
            <w:r w:rsidR="00D655D4" w:rsidRPr="00962F8F">
              <w:rPr>
                <w:rFonts w:ascii="Georgia" w:hAnsi="Georgia" w:cs="Arial"/>
                <w:sz w:val="18"/>
                <w:szCs w:val="18"/>
              </w:rPr>
              <w:t xml:space="preserve">very FI E&amp;S risk categorisation system is different and there is no single way to assign E&amp;S </w:t>
            </w:r>
            <w:r w:rsidR="00007EC0" w:rsidRPr="00962F8F">
              <w:rPr>
                <w:rFonts w:ascii="Georgia" w:hAnsi="Georgia" w:cs="Arial"/>
                <w:sz w:val="18"/>
                <w:szCs w:val="18"/>
              </w:rPr>
              <w:t xml:space="preserve">risk </w:t>
            </w:r>
            <w:r w:rsidR="00D655D4" w:rsidRPr="00962F8F">
              <w:rPr>
                <w:rFonts w:ascii="Georgia" w:hAnsi="Georgia" w:cs="Arial"/>
                <w:sz w:val="18"/>
                <w:szCs w:val="18"/>
              </w:rPr>
              <w:t xml:space="preserve">categories. </w:t>
            </w:r>
          </w:p>
          <w:p w14:paraId="561EB660" w14:textId="556B847D" w:rsidR="002D0725" w:rsidRPr="00962F8F" w:rsidRDefault="007760DB" w:rsidP="009162CD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spacing w:after="0" w:line="240" w:lineRule="auto"/>
              <w:ind w:left="317" w:hanging="283"/>
              <w:rPr>
                <w:rFonts w:ascii="Georgia" w:hAnsi="Georgia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The E&amp;S categorisation can be revised when new E&amp;S information becomes available during the proceeding transaction lifecycle stages. </w:t>
            </w:r>
          </w:p>
        </w:tc>
      </w:tr>
      <w:tr w:rsidR="000D1B6F" w:rsidRPr="00962F8F" w14:paraId="2FC7BA7F" w14:textId="77777777" w:rsidTr="00772D7C">
        <w:trPr>
          <w:trHeight w:val="265"/>
        </w:trPr>
        <w:tc>
          <w:tcPr>
            <w:tcW w:w="14142" w:type="dxa"/>
            <w:gridSpan w:val="3"/>
            <w:shd w:val="clear" w:color="auto" w:fill="C6D9F1"/>
          </w:tcPr>
          <w:p w14:paraId="0E09F9FB" w14:textId="36130217" w:rsidR="000D1B6F" w:rsidRPr="00962F8F" w:rsidDel="00776755" w:rsidRDefault="007C3E95" w:rsidP="00772D7C">
            <w:pPr>
              <w:spacing w:after="0"/>
              <w:rPr>
                <w:rFonts w:ascii="Georgia" w:hAnsi="Georgia" w:cs="Arial"/>
                <w:b/>
                <w:i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lastRenderedPageBreak/>
              <w:t xml:space="preserve">E&amp;S </w:t>
            </w:r>
            <w:r w:rsidR="000D1B6F"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>Due Diligence Plan</w:t>
            </w:r>
          </w:p>
        </w:tc>
      </w:tr>
      <w:tr w:rsidR="000D1B6F" w:rsidRPr="00962F8F" w14:paraId="23FF3602" w14:textId="77777777" w:rsidTr="00BC2550">
        <w:trPr>
          <w:trHeight w:val="763"/>
        </w:trPr>
        <w:tc>
          <w:tcPr>
            <w:tcW w:w="5353" w:type="dxa"/>
            <w:shd w:val="clear" w:color="auto" w:fill="auto"/>
          </w:tcPr>
          <w:p w14:paraId="4960F518" w14:textId="661BBB0C" w:rsidR="000D1B6F" w:rsidRPr="00962F8F" w:rsidRDefault="000D1B6F" w:rsidP="00772D7C">
            <w:pPr>
              <w:pStyle w:val="ListParagraph"/>
              <w:numPr>
                <w:ilvl w:val="0"/>
                <w:numId w:val="4"/>
              </w:numPr>
              <w:spacing w:after="0"/>
              <w:ind w:left="142" w:hanging="142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Based on the initial E</w:t>
            </w:r>
            <w:r w:rsidR="002E0EE1" w:rsidRPr="00962F8F">
              <w:rPr>
                <w:rFonts w:ascii="Georgia" w:hAnsi="Georgia" w:cs="Arial"/>
                <w:sz w:val="18"/>
                <w:szCs w:val="18"/>
              </w:rPr>
              <w:t>&amp;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S risk categorisation, </w:t>
            </w:r>
            <w:r w:rsidR="007C3E95" w:rsidRPr="00962F8F">
              <w:rPr>
                <w:rFonts w:ascii="Georgia" w:hAnsi="Georgia" w:cs="Arial"/>
                <w:sz w:val="18"/>
                <w:szCs w:val="18"/>
              </w:rPr>
              <w:t xml:space="preserve">what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type of </w:t>
            </w:r>
            <w:r w:rsidR="004F1F4E" w:rsidRPr="00962F8F">
              <w:rPr>
                <w:rFonts w:ascii="Georgia" w:hAnsi="Georgia" w:cs="Arial"/>
                <w:sz w:val="18"/>
                <w:szCs w:val="18"/>
              </w:rPr>
              <w:t>ESDD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2E0EE1" w:rsidRPr="00962F8F">
              <w:rPr>
                <w:rFonts w:ascii="Georgia" w:hAnsi="Georgia" w:cs="Arial"/>
                <w:sz w:val="18"/>
                <w:szCs w:val="18"/>
              </w:rPr>
              <w:t xml:space="preserve">is </w:t>
            </w:r>
            <w:r w:rsidR="00AC69F6" w:rsidRPr="00962F8F">
              <w:rPr>
                <w:rFonts w:ascii="Georgia" w:hAnsi="Georgia" w:cs="Arial"/>
                <w:sz w:val="18"/>
                <w:szCs w:val="18"/>
              </w:rPr>
              <w:t xml:space="preserve">required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to successfully </w:t>
            </w:r>
            <w:r w:rsidR="00CB2B20" w:rsidRPr="00962F8F">
              <w:rPr>
                <w:rFonts w:ascii="Georgia" w:hAnsi="Georgia" w:cs="Arial"/>
                <w:sz w:val="18"/>
                <w:szCs w:val="18"/>
              </w:rPr>
              <w:t xml:space="preserve">assess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E&amp;S issues associated with the transaction (i.e., ESDD performed by an external provider or internal E&amp;S resources, ESDD with specialist input, etc)? </w:t>
            </w:r>
          </w:p>
          <w:p w14:paraId="08E55240" w14:textId="599A5019" w:rsidR="000D1B6F" w:rsidRPr="00962F8F" w:rsidRDefault="000D1B6F" w:rsidP="000D1B6F">
            <w:pPr>
              <w:pStyle w:val="ListParagraph"/>
              <w:numPr>
                <w:ilvl w:val="0"/>
                <w:numId w:val="4"/>
              </w:numPr>
              <w:spacing w:after="0"/>
              <w:ind w:left="142" w:hanging="142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Wh</w:t>
            </w:r>
            <w:r w:rsidR="00AC69F6" w:rsidRPr="00962F8F">
              <w:rPr>
                <w:rFonts w:ascii="Georgia" w:hAnsi="Georgia" w:cs="Arial"/>
                <w:sz w:val="18"/>
                <w:szCs w:val="18"/>
              </w:rPr>
              <w:t xml:space="preserve">ich </w:t>
            </w:r>
            <w:r w:rsidR="00FB0781" w:rsidRPr="00962F8F">
              <w:rPr>
                <w:rFonts w:ascii="Georgia" w:hAnsi="Georgia" w:cs="Arial"/>
                <w:sz w:val="18"/>
                <w:szCs w:val="18"/>
              </w:rPr>
              <w:t xml:space="preserve">E&amp;S </w:t>
            </w:r>
            <w:r w:rsidRPr="00962F8F">
              <w:rPr>
                <w:rFonts w:ascii="Georgia" w:hAnsi="Georgia" w:cs="Arial"/>
                <w:sz w:val="18"/>
                <w:szCs w:val="18"/>
              </w:rPr>
              <w:t>standards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 xml:space="preserve"> and guidelines</w:t>
            </w:r>
            <w:r w:rsidR="006C5824" w:rsidRPr="00962F8F">
              <w:rPr>
                <w:rFonts w:ascii="Georgia" w:hAnsi="Georgia" w:cs="Arial"/>
                <w:sz w:val="18"/>
                <w:szCs w:val="18"/>
              </w:rPr>
              <w:t xml:space="preserve"> (i.e.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 xml:space="preserve">, local </w:t>
            </w:r>
            <w:r w:rsidR="00E77A84" w:rsidRPr="00962F8F">
              <w:rPr>
                <w:rFonts w:ascii="Georgia" w:hAnsi="Georgia" w:cs="Arial"/>
                <w:sz w:val="18"/>
                <w:szCs w:val="18"/>
              </w:rPr>
              <w:t>legislation, IFC</w:t>
            </w:r>
            <w:r w:rsidR="006C5824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>Performance</w:t>
            </w:r>
            <w:r w:rsidR="006C5824" w:rsidRPr="00962F8F">
              <w:rPr>
                <w:rFonts w:ascii="Georgia" w:hAnsi="Georgia" w:cs="Arial"/>
                <w:sz w:val="18"/>
                <w:szCs w:val="18"/>
              </w:rPr>
              <w:t xml:space="preserve"> Standards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>, etc</w:t>
            </w:r>
            <w:r w:rsidR="006C5824" w:rsidRPr="00962F8F">
              <w:rPr>
                <w:rFonts w:ascii="Georgia" w:hAnsi="Georgia" w:cs="Arial"/>
                <w:sz w:val="18"/>
                <w:szCs w:val="18"/>
              </w:rPr>
              <w:t>)</w:t>
            </w:r>
            <w:r w:rsidR="00E77A84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AC69F6" w:rsidRPr="00962F8F">
              <w:rPr>
                <w:rFonts w:ascii="Georgia" w:hAnsi="Georgia" w:cs="Arial"/>
                <w:sz w:val="18"/>
                <w:szCs w:val="18"/>
              </w:rPr>
              <w:t xml:space="preserve">are applicable to the </w:t>
            </w:r>
            <w:r w:rsidR="002C11B0" w:rsidRPr="00962F8F">
              <w:rPr>
                <w:rFonts w:ascii="Georgia" w:hAnsi="Georgia" w:cs="Arial"/>
                <w:sz w:val="18"/>
                <w:szCs w:val="18"/>
              </w:rPr>
              <w:t>transaction</w:t>
            </w:r>
            <w:r w:rsidR="00AC69F6" w:rsidRPr="00962F8F">
              <w:rPr>
                <w:rFonts w:ascii="Georgia" w:hAnsi="Georgia" w:cs="Arial"/>
                <w:sz w:val="18"/>
                <w:szCs w:val="18"/>
              </w:rPr>
              <w:t xml:space="preserve"> and should be </w:t>
            </w:r>
            <w:r w:rsidR="00E77A84" w:rsidRPr="00962F8F">
              <w:rPr>
                <w:rFonts w:ascii="Georgia" w:hAnsi="Georgia" w:cs="Arial"/>
                <w:sz w:val="18"/>
                <w:szCs w:val="18"/>
              </w:rPr>
              <w:t>assess</w:t>
            </w:r>
            <w:r w:rsidR="00AC69F6" w:rsidRPr="00962F8F">
              <w:rPr>
                <w:rFonts w:ascii="Georgia" w:hAnsi="Georgia" w:cs="Arial"/>
                <w:sz w:val="18"/>
                <w:szCs w:val="18"/>
              </w:rPr>
              <w:t>ed</w:t>
            </w:r>
            <w:r w:rsidR="00E77A84" w:rsidRPr="00962F8F">
              <w:rPr>
                <w:rFonts w:ascii="Georgia" w:hAnsi="Georgia" w:cs="Arial"/>
                <w:sz w:val="18"/>
                <w:szCs w:val="18"/>
              </w:rPr>
              <w:t xml:space="preserve"> against</w:t>
            </w:r>
            <w:r w:rsidR="006C5824" w:rsidRPr="00962F8F">
              <w:rPr>
                <w:rFonts w:ascii="Georgia" w:hAnsi="Georgia" w:cs="Arial"/>
                <w:sz w:val="18"/>
                <w:szCs w:val="18"/>
              </w:rPr>
              <w:t xml:space="preserve">? </w:t>
            </w:r>
          </w:p>
          <w:p w14:paraId="3B7596FB" w14:textId="50E3A72E" w:rsidR="000D1B6F" w:rsidRPr="00962F8F" w:rsidRDefault="000D1B6F" w:rsidP="000D1B6F">
            <w:pPr>
              <w:pStyle w:val="ListParagraph"/>
              <w:numPr>
                <w:ilvl w:val="0"/>
                <w:numId w:val="4"/>
              </w:numPr>
              <w:spacing w:after="0"/>
              <w:ind w:left="142" w:hanging="142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What are the timelines for the</w:t>
            </w:r>
            <w:r w:rsidR="002E0EE1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4F1F4E" w:rsidRPr="00962F8F">
              <w:rPr>
                <w:rFonts w:ascii="Georgia" w:hAnsi="Georgia" w:cs="Arial"/>
                <w:sz w:val="18"/>
                <w:szCs w:val="18"/>
              </w:rPr>
              <w:t>ESDD</w:t>
            </w:r>
            <w:r w:rsidR="006C5824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assessment? </w:t>
            </w:r>
          </w:p>
          <w:p w14:paraId="292DEF54" w14:textId="48917829" w:rsidR="000D1B6F" w:rsidRPr="00962F8F" w:rsidRDefault="000D1B6F" w:rsidP="000D1B6F">
            <w:pPr>
              <w:pStyle w:val="ListParagraph"/>
              <w:numPr>
                <w:ilvl w:val="0"/>
                <w:numId w:val="4"/>
              </w:numPr>
              <w:spacing w:after="0"/>
              <w:ind w:left="142" w:hanging="142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What </w:t>
            </w:r>
            <w:r w:rsidR="002C11B0" w:rsidRPr="00962F8F">
              <w:rPr>
                <w:rFonts w:ascii="Georgia" w:hAnsi="Georgia" w:cs="Arial"/>
                <w:sz w:val="18"/>
                <w:szCs w:val="18"/>
              </w:rPr>
              <w:t xml:space="preserve">are </w:t>
            </w:r>
            <w:r w:rsidRPr="00962F8F">
              <w:rPr>
                <w:rFonts w:ascii="Georgia" w:hAnsi="Georgia" w:cs="Arial"/>
                <w:sz w:val="18"/>
                <w:szCs w:val="18"/>
              </w:rPr>
              <w:t>the estimated cost</w:t>
            </w:r>
            <w:r w:rsidR="002C11B0" w:rsidRPr="00962F8F">
              <w:rPr>
                <w:rFonts w:ascii="Georgia" w:hAnsi="Georgia" w:cs="Arial"/>
                <w:sz w:val="18"/>
                <w:szCs w:val="18"/>
              </w:rPr>
              <w:t>s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for the </w:t>
            </w:r>
            <w:r w:rsidR="004F1F4E" w:rsidRPr="00962F8F">
              <w:rPr>
                <w:rFonts w:ascii="Georgia" w:hAnsi="Georgia" w:cs="Arial"/>
                <w:sz w:val="18"/>
                <w:szCs w:val="18"/>
              </w:rPr>
              <w:t>ESDD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? </w:t>
            </w:r>
          </w:p>
          <w:p w14:paraId="74745B2C" w14:textId="0FBB9EAE" w:rsidR="002E0EE1" w:rsidRPr="00962F8F" w:rsidRDefault="000D1B6F" w:rsidP="002E0EE1">
            <w:pPr>
              <w:pStyle w:val="ListParagraph"/>
              <w:numPr>
                <w:ilvl w:val="0"/>
                <w:numId w:val="4"/>
              </w:numPr>
              <w:spacing w:after="0"/>
              <w:ind w:left="142" w:hanging="142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What are the required outputs of the</w:t>
            </w:r>
            <w:r w:rsidR="002E0EE1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4F1F4E" w:rsidRPr="00962F8F">
              <w:rPr>
                <w:rFonts w:ascii="Georgia" w:hAnsi="Georgia" w:cs="Arial"/>
                <w:sz w:val="18"/>
                <w:szCs w:val="18"/>
              </w:rPr>
              <w:t>ESDD</w:t>
            </w:r>
            <w:r w:rsidR="006C5824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962F8F">
              <w:rPr>
                <w:rFonts w:ascii="Georgia" w:hAnsi="Georgia" w:cs="Arial"/>
                <w:sz w:val="18"/>
                <w:szCs w:val="18"/>
              </w:rPr>
              <w:t>assessment</w:t>
            </w:r>
            <w:r w:rsidR="002C11B0" w:rsidRPr="00962F8F">
              <w:rPr>
                <w:rFonts w:ascii="Georgia" w:hAnsi="Georgia" w:cs="Arial"/>
                <w:sz w:val="18"/>
                <w:szCs w:val="18"/>
              </w:rPr>
              <w:t xml:space="preserve"> (</w:t>
            </w:r>
            <w:r w:rsidR="007E1F59" w:rsidRPr="00962F8F">
              <w:rPr>
                <w:rFonts w:ascii="Georgia" w:hAnsi="Georgia" w:cs="Arial"/>
                <w:sz w:val="18"/>
                <w:szCs w:val="18"/>
              </w:rPr>
              <w:t>i.e.,</w:t>
            </w:r>
            <w:r w:rsidR="002C11B0" w:rsidRPr="00962F8F">
              <w:rPr>
                <w:rFonts w:ascii="Georgia" w:hAnsi="Georgia" w:cs="Arial"/>
                <w:sz w:val="18"/>
                <w:szCs w:val="18"/>
              </w:rPr>
              <w:t xml:space="preserve"> E&amp;DD report, Environmental and Social Action Plan (ESAP), etc)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? </w:t>
            </w:r>
          </w:p>
          <w:p w14:paraId="08F652C5" w14:textId="79D28AE4" w:rsidR="000D1B6F" w:rsidRPr="00962F8F" w:rsidRDefault="000D1B6F" w:rsidP="00772D7C">
            <w:pPr>
              <w:pStyle w:val="ListParagraph"/>
              <w:numPr>
                <w:ilvl w:val="0"/>
                <w:numId w:val="4"/>
              </w:numPr>
              <w:spacing w:after="0"/>
              <w:ind w:left="142" w:hanging="142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What are the next steps </w:t>
            </w:r>
            <w:r w:rsidR="002C11B0" w:rsidRPr="00962F8F">
              <w:rPr>
                <w:rFonts w:ascii="Georgia" w:hAnsi="Georgia" w:cs="Arial"/>
                <w:sz w:val="18"/>
                <w:szCs w:val="18"/>
              </w:rPr>
              <w:t xml:space="preserve">for the transaction </w:t>
            </w:r>
            <w:r w:rsidRPr="00962F8F">
              <w:rPr>
                <w:rFonts w:ascii="Georgia" w:hAnsi="Georgia" w:cs="Arial"/>
                <w:sz w:val="18"/>
                <w:szCs w:val="18"/>
              </w:rPr>
              <w:t>(</w:t>
            </w:r>
            <w:r w:rsidR="002E0EE1" w:rsidRPr="00962F8F">
              <w:rPr>
                <w:rFonts w:ascii="Georgia" w:hAnsi="Georgia" w:cs="Arial"/>
                <w:sz w:val="18"/>
                <w:szCs w:val="18"/>
              </w:rPr>
              <w:t>i.e.,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decision to proceed with the transaction to the next stage or not, develop </w:t>
            </w:r>
            <w:r w:rsidR="002C11B0" w:rsidRPr="00962F8F">
              <w:rPr>
                <w:rFonts w:ascii="Georgia" w:hAnsi="Georgia" w:cs="Arial"/>
                <w:sz w:val="18"/>
                <w:szCs w:val="18"/>
              </w:rPr>
              <w:t xml:space="preserve">an </w:t>
            </w:r>
            <w:r w:rsidR="004F1F4E" w:rsidRPr="00962F8F">
              <w:rPr>
                <w:rFonts w:ascii="Georgia" w:hAnsi="Georgia" w:cs="Arial"/>
                <w:sz w:val="18"/>
                <w:szCs w:val="18"/>
              </w:rPr>
              <w:t>ESDD</w:t>
            </w:r>
            <w:r w:rsidR="006C5824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962F8F">
              <w:rPr>
                <w:rFonts w:ascii="Georgia" w:hAnsi="Georgia" w:cs="Arial"/>
                <w:sz w:val="18"/>
                <w:szCs w:val="18"/>
              </w:rPr>
              <w:t>Terms of Reference (</w:t>
            </w:r>
            <w:proofErr w:type="spellStart"/>
            <w:r w:rsidRPr="00962F8F">
              <w:rPr>
                <w:rFonts w:ascii="Georgia" w:hAnsi="Georgia" w:cs="Arial"/>
                <w:sz w:val="18"/>
                <w:szCs w:val="18"/>
              </w:rPr>
              <w:t>ToR</w:t>
            </w:r>
            <w:proofErr w:type="spellEnd"/>
            <w:r w:rsidRPr="00962F8F">
              <w:rPr>
                <w:rFonts w:ascii="Georgia" w:hAnsi="Georgia" w:cs="Arial"/>
                <w:sz w:val="18"/>
                <w:szCs w:val="18"/>
              </w:rPr>
              <w:t xml:space="preserve">) </w:t>
            </w:r>
            <w:r w:rsidR="002C11B0" w:rsidRPr="00962F8F">
              <w:rPr>
                <w:rFonts w:ascii="Georgia" w:hAnsi="Georgia" w:cs="Arial"/>
                <w:sz w:val="18"/>
                <w:szCs w:val="18"/>
              </w:rPr>
              <w:t xml:space="preserve">to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appoint </w:t>
            </w:r>
            <w:r w:rsidR="002C11B0" w:rsidRPr="00962F8F">
              <w:rPr>
                <w:rFonts w:ascii="Georgia" w:hAnsi="Georgia" w:cs="Arial"/>
                <w:sz w:val="18"/>
                <w:szCs w:val="18"/>
              </w:rPr>
              <w:t>a third party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, confirm timing for </w:t>
            </w:r>
            <w:r w:rsidR="004F1F4E" w:rsidRPr="00962F8F">
              <w:rPr>
                <w:rFonts w:ascii="Georgia" w:hAnsi="Georgia" w:cs="Arial"/>
                <w:sz w:val="18"/>
                <w:szCs w:val="18"/>
              </w:rPr>
              <w:t>ESDD</w:t>
            </w:r>
            <w:r w:rsidRPr="00962F8F">
              <w:rPr>
                <w:rFonts w:ascii="Georgia" w:hAnsi="Georgia" w:cs="Arial"/>
                <w:sz w:val="18"/>
                <w:szCs w:val="18"/>
              </w:rPr>
              <w:t>, etc)?</w:t>
            </w:r>
          </w:p>
        </w:tc>
        <w:tc>
          <w:tcPr>
            <w:tcW w:w="2693" w:type="dxa"/>
            <w:shd w:val="clear" w:color="auto" w:fill="auto"/>
          </w:tcPr>
          <w:p w14:paraId="12082B68" w14:textId="2AABBFA7" w:rsidR="000D1B6F" w:rsidRPr="00962F8F" w:rsidRDefault="000D1B6F" w:rsidP="000D1B6F">
            <w:pPr>
              <w:suppressAutoHyphens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Review:</w:t>
            </w:r>
          </w:p>
          <w:p w14:paraId="5E75DE37" w14:textId="0DF8A7AD" w:rsidR="000D1B6F" w:rsidRPr="00962F8F" w:rsidRDefault="000D1B6F" w:rsidP="00772D7C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1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E&amp;S Screening Guidance </w:t>
            </w:r>
          </w:p>
          <w:p w14:paraId="6ADACEFA" w14:textId="6BE981D9" w:rsidR="000D1B6F" w:rsidRPr="00962F8F" w:rsidRDefault="000D1B6F" w:rsidP="00772D7C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1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Preliminary Screening Assessment </w:t>
            </w:r>
          </w:p>
          <w:p w14:paraId="6CD1FD45" w14:textId="5A32D5CF" w:rsidR="000D1B6F" w:rsidRPr="00962F8F" w:rsidRDefault="000D1B6F" w:rsidP="00772D7C">
            <w:pPr>
              <w:pStyle w:val="ListParagraph"/>
              <w:numPr>
                <w:ilvl w:val="0"/>
                <w:numId w:val="3"/>
              </w:numPr>
              <w:suppressAutoHyphens/>
              <w:spacing w:after="0"/>
              <w:ind w:left="142" w:hanging="141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Risk categorisation</w:t>
            </w:r>
          </w:p>
        </w:tc>
        <w:tc>
          <w:tcPr>
            <w:tcW w:w="6096" w:type="dxa"/>
            <w:shd w:val="clear" w:color="auto" w:fill="auto"/>
          </w:tcPr>
          <w:p w14:paraId="52789DB8" w14:textId="1D2742C5" w:rsidR="00FB0781" w:rsidRPr="00962F8F" w:rsidRDefault="00FB0781" w:rsidP="00772D7C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spacing w:after="0" w:line="240" w:lineRule="auto"/>
              <w:ind w:left="317" w:hanging="283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It is important to scope the level of </w:t>
            </w:r>
            <w:r w:rsidR="004F1F4E" w:rsidRPr="00962F8F">
              <w:rPr>
                <w:rFonts w:ascii="Georgia" w:hAnsi="Georgia" w:cs="Arial"/>
                <w:sz w:val="18"/>
                <w:szCs w:val="18"/>
              </w:rPr>
              <w:t>ESDD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962F8F">
              <w:rPr>
                <w:rFonts w:ascii="Georgia" w:hAnsi="Georgia" w:cs="Arial"/>
                <w:sz w:val="18"/>
                <w:szCs w:val="18"/>
              </w:rPr>
              <w:t>commensurate with the</w:t>
            </w:r>
            <w:r w:rsidR="00A5494B" w:rsidRPr="00962F8F">
              <w:rPr>
                <w:rFonts w:ascii="Georgia" w:hAnsi="Georgia" w:cs="Arial"/>
                <w:sz w:val="18"/>
                <w:szCs w:val="18"/>
              </w:rPr>
              <w:t xml:space="preserve"> E&amp;S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risk categorisation assigned</w:t>
            </w:r>
            <w:r w:rsidR="00146959" w:rsidRPr="00962F8F">
              <w:rPr>
                <w:rFonts w:ascii="Georgia" w:hAnsi="Georgia" w:cs="Arial"/>
                <w:sz w:val="18"/>
                <w:szCs w:val="18"/>
              </w:rPr>
              <w:t xml:space="preserve"> during screening</w:t>
            </w:r>
            <w:r w:rsidR="002F7135" w:rsidRPr="00962F8F">
              <w:rPr>
                <w:rFonts w:ascii="Georgia" w:hAnsi="Georgia" w:cs="Arial"/>
                <w:sz w:val="18"/>
                <w:szCs w:val="18"/>
              </w:rPr>
              <w:t xml:space="preserve">. This ensures that E&amp;S risks, impacts and </w:t>
            </w:r>
            <w:r w:rsidR="0024557C" w:rsidRPr="00962F8F">
              <w:rPr>
                <w:rFonts w:ascii="Georgia" w:hAnsi="Georgia" w:cs="Arial"/>
                <w:sz w:val="18"/>
                <w:szCs w:val="18"/>
              </w:rPr>
              <w:t>opportunities</w:t>
            </w:r>
            <w:r w:rsidR="002F7135" w:rsidRPr="00962F8F">
              <w:rPr>
                <w:rFonts w:ascii="Georgia" w:hAnsi="Georgia" w:cs="Arial"/>
                <w:sz w:val="18"/>
                <w:szCs w:val="18"/>
              </w:rPr>
              <w:t xml:space="preserve"> are </w:t>
            </w:r>
            <w:r w:rsidR="00CA5EB5" w:rsidRPr="00962F8F">
              <w:rPr>
                <w:rFonts w:ascii="Georgia" w:hAnsi="Georgia" w:cs="Arial"/>
                <w:sz w:val="18"/>
                <w:szCs w:val="18"/>
              </w:rPr>
              <w:t>sufficiently</w:t>
            </w:r>
            <w:r w:rsidR="002F7135" w:rsidRPr="00962F8F">
              <w:rPr>
                <w:rFonts w:ascii="Georgia" w:hAnsi="Georgia" w:cs="Arial"/>
                <w:sz w:val="18"/>
                <w:szCs w:val="18"/>
              </w:rPr>
              <w:t xml:space="preserve"> interrogated prior to </w:t>
            </w:r>
            <w:r w:rsidR="00146959" w:rsidRPr="00962F8F">
              <w:rPr>
                <w:rFonts w:ascii="Georgia" w:hAnsi="Georgia" w:cs="Arial"/>
                <w:sz w:val="18"/>
                <w:szCs w:val="18"/>
              </w:rPr>
              <w:t>disbursement,</w:t>
            </w:r>
            <w:r w:rsidR="002F7135" w:rsidRPr="00962F8F">
              <w:rPr>
                <w:rFonts w:ascii="Georgia" w:hAnsi="Georgia" w:cs="Arial"/>
                <w:sz w:val="18"/>
                <w:szCs w:val="18"/>
              </w:rPr>
              <w:t xml:space="preserve"> to </w:t>
            </w:r>
            <w:r w:rsidR="00146959" w:rsidRPr="00962F8F">
              <w:rPr>
                <w:rFonts w:ascii="Georgia" w:hAnsi="Georgia" w:cs="Arial"/>
                <w:sz w:val="18"/>
                <w:szCs w:val="18"/>
              </w:rPr>
              <w:t>safeguard</w:t>
            </w:r>
            <w:r w:rsidR="002F7135" w:rsidRPr="00962F8F">
              <w:rPr>
                <w:rFonts w:ascii="Georgia" w:hAnsi="Georgia" w:cs="Arial"/>
                <w:sz w:val="18"/>
                <w:szCs w:val="18"/>
              </w:rPr>
              <w:t xml:space="preserve"> the FI against </w:t>
            </w:r>
            <w:r w:rsidR="00CA5EB5" w:rsidRPr="00962F8F">
              <w:rPr>
                <w:rFonts w:ascii="Georgia" w:hAnsi="Georgia" w:cs="Arial"/>
                <w:sz w:val="18"/>
                <w:szCs w:val="18"/>
              </w:rPr>
              <w:t>reputational</w:t>
            </w:r>
            <w:r w:rsidR="002F7135" w:rsidRPr="00962F8F">
              <w:rPr>
                <w:rFonts w:ascii="Georgia" w:hAnsi="Georgia" w:cs="Arial"/>
                <w:sz w:val="18"/>
                <w:szCs w:val="18"/>
              </w:rPr>
              <w:t xml:space="preserve"> risk, </w:t>
            </w:r>
            <w:r w:rsidR="00146959" w:rsidRPr="00962F8F">
              <w:rPr>
                <w:rFonts w:ascii="Georgia" w:hAnsi="Georgia" w:cs="Arial"/>
                <w:sz w:val="18"/>
                <w:szCs w:val="18"/>
              </w:rPr>
              <w:t>additional</w:t>
            </w:r>
            <w:r w:rsidR="00E36969" w:rsidRPr="00962F8F">
              <w:rPr>
                <w:rFonts w:ascii="Georgia" w:hAnsi="Georgia" w:cs="Arial"/>
                <w:sz w:val="18"/>
                <w:szCs w:val="18"/>
              </w:rPr>
              <w:t xml:space="preserve"> capital costs, etc. </w:t>
            </w:r>
          </w:p>
          <w:p w14:paraId="01BABD12" w14:textId="06392F73" w:rsidR="000D1B6F" w:rsidRPr="00962F8F" w:rsidRDefault="000D1B6F" w:rsidP="00772D7C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spacing w:after="0" w:line="240" w:lineRule="auto"/>
              <w:ind w:left="317" w:hanging="283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High risk </w:t>
            </w:r>
            <w:r w:rsidR="00FB0781" w:rsidRPr="00962F8F">
              <w:rPr>
                <w:rFonts w:ascii="Georgia" w:hAnsi="Georgia" w:cs="Arial"/>
                <w:sz w:val="18"/>
                <w:szCs w:val="18"/>
              </w:rPr>
              <w:t>transactions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(</w:t>
            </w:r>
            <w:r w:rsidR="00AB3D9C" w:rsidRPr="00962F8F">
              <w:rPr>
                <w:rFonts w:ascii="Georgia" w:hAnsi="Georgia" w:cs="Arial"/>
                <w:sz w:val="18"/>
                <w:szCs w:val="18"/>
              </w:rPr>
              <w:t>i.e.,</w:t>
            </w:r>
            <w:r w:rsidR="00A5494B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962F8F">
              <w:rPr>
                <w:rFonts w:ascii="Georgia" w:hAnsi="Georgia" w:cs="Arial"/>
                <w:sz w:val="18"/>
                <w:szCs w:val="18"/>
              </w:rPr>
              <w:t>Cat</w:t>
            </w:r>
            <w:r w:rsidR="00A5494B" w:rsidRPr="00962F8F">
              <w:rPr>
                <w:rFonts w:ascii="Georgia" w:hAnsi="Georgia" w:cs="Arial"/>
                <w:sz w:val="18"/>
                <w:szCs w:val="18"/>
              </w:rPr>
              <w:t>egory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A) should undergo a thorough </w:t>
            </w:r>
            <w:r w:rsidR="004F1F4E" w:rsidRPr="00962F8F">
              <w:rPr>
                <w:rFonts w:ascii="Georgia" w:hAnsi="Georgia" w:cs="Arial"/>
                <w:sz w:val="18"/>
                <w:szCs w:val="18"/>
              </w:rPr>
              <w:t>ESDD</w:t>
            </w:r>
            <w:r w:rsidRPr="00962F8F">
              <w:rPr>
                <w:rFonts w:ascii="Georgia" w:hAnsi="Georgia" w:cs="Arial"/>
                <w:sz w:val="18"/>
                <w:szCs w:val="18"/>
              </w:rPr>
              <w:t>, supported by an external consultant</w:t>
            </w:r>
            <w:r w:rsidR="00FB0781" w:rsidRPr="00962F8F">
              <w:rPr>
                <w:rFonts w:ascii="Georgia" w:hAnsi="Georgia" w:cs="Arial"/>
                <w:sz w:val="18"/>
                <w:szCs w:val="18"/>
              </w:rPr>
              <w:t>,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and should </w:t>
            </w:r>
            <w:r w:rsidR="00FB0781" w:rsidRPr="00962F8F">
              <w:rPr>
                <w:rFonts w:ascii="Georgia" w:hAnsi="Georgia" w:cs="Arial"/>
                <w:sz w:val="18"/>
                <w:szCs w:val="18"/>
              </w:rPr>
              <w:t>include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: </w:t>
            </w:r>
          </w:p>
          <w:p w14:paraId="73F413BC" w14:textId="2C495105" w:rsidR="000D1B6F" w:rsidRPr="00962F8F" w:rsidRDefault="00FB0781" w:rsidP="00772D7C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R</w:t>
            </w:r>
            <w:r w:rsidR="000D1B6F" w:rsidRPr="00962F8F">
              <w:rPr>
                <w:rFonts w:ascii="Georgia" w:hAnsi="Georgia" w:cs="Arial"/>
                <w:sz w:val="18"/>
                <w:szCs w:val="18"/>
              </w:rPr>
              <w:t xml:space="preserve">eview of E&amp;S </w:t>
            </w:r>
            <w:proofErr w:type="gramStart"/>
            <w:r w:rsidR="000D1B6F" w:rsidRPr="00962F8F">
              <w:rPr>
                <w:rFonts w:ascii="Georgia" w:hAnsi="Georgia" w:cs="Arial"/>
                <w:sz w:val="18"/>
                <w:szCs w:val="18"/>
              </w:rPr>
              <w:t>documentation;</w:t>
            </w:r>
            <w:proofErr w:type="gramEnd"/>
          </w:p>
          <w:p w14:paraId="75A5F5FA" w14:textId="258C6683" w:rsidR="000D1B6F" w:rsidRPr="00962F8F" w:rsidRDefault="00FB0781" w:rsidP="00772D7C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R</w:t>
            </w:r>
            <w:r w:rsidR="000D1B6F" w:rsidRPr="00962F8F">
              <w:rPr>
                <w:rFonts w:ascii="Georgia" w:hAnsi="Georgia" w:cs="Arial"/>
                <w:sz w:val="18"/>
                <w:szCs w:val="18"/>
              </w:rPr>
              <w:t xml:space="preserve">eputational review of the </w:t>
            </w:r>
            <w:r w:rsidR="0024557C" w:rsidRPr="00962F8F">
              <w:rPr>
                <w:rFonts w:ascii="Georgia" w:hAnsi="Georgia" w:cs="Arial"/>
                <w:sz w:val="18"/>
                <w:szCs w:val="18"/>
              </w:rPr>
              <w:t xml:space="preserve">client/project </w:t>
            </w:r>
            <w:r w:rsidR="000D1B6F" w:rsidRPr="00962F8F">
              <w:rPr>
                <w:rFonts w:ascii="Georgia" w:hAnsi="Georgia" w:cs="Arial"/>
                <w:sz w:val="18"/>
                <w:szCs w:val="18"/>
              </w:rPr>
              <w:t>or of the purpose of the credit facility (based on public information</w:t>
            </w:r>
            <w:proofErr w:type="gramStart"/>
            <w:r w:rsidR="000D1B6F" w:rsidRPr="00962F8F">
              <w:rPr>
                <w:rFonts w:ascii="Georgia" w:hAnsi="Georgia" w:cs="Arial"/>
                <w:sz w:val="18"/>
                <w:szCs w:val="18"/>
              </w:rPr>
              <w:t>);</w:t>
            </w:r>
            <w:proofErr w:type="gramEnd"/>
          </w:p>
          <w:p w14:paraId="7ADA7120" w14:textId="435C287C" w:rsidR="000D1B6F" w:rsidRPr="00962F8F" w:rsidRDefault="000D1B6F" w:rsidP="00772D7C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E&amp;S interview</w:t>
            </w:r>
            <w:r w:rsidR="00FB0781" w:rsidRPr="00962F8F">
              <w:rPr>
                <w:rFonts w:ascii="Georgia" w:hAnsi="Georgia" w:cs="Arial"/>
                <w:sz w:val="18"/>
                <w:szCs w:val="18"/>
              </w:rPr>
              <w:t>s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with the </w:t>
            </w:r>
            <w:r w:rsidR="0024557C" w:rsidRPr="00962F8F">
              <w:rPr>
                <w:rFonts w:ascii="Georgia" w:hAnsi="Georgia" w:cs="Arial"/>
                <w:sz w:val="18"/>
                <w:szCs w:val="18"/>
              </w:rPr>
              <w:t>client/proje</w:t>
            </w:r>
            <w:r w:rsidR="00CA5EB5" w:rsidRPr="00962F8F">
              <w:rPr>
                <w:rFonts w:ascii="Georgia" w:hAnsi="Georgia" w:cs="Arial"/>
                <w:sz w:val="18"/>
                <w:szCs w:val="18"/>
              </w:rPr>
              <w:t>ct</w:t>
            </w:r>
            <w:r w:rsidR="0024557C" w:rsidRPr="00962F8F" w:rsidDel="0024557C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FB0781" w:rsidRPr="00962F8F">
              <w:rPr>
                <w:rFonts w:ascii="Georgia" w:hAnsi="Georgia" w:cs="Arial"/>
                <w:sz w:val="18"/>
                <w:szCs w:val="18"/>
              </w:rPr>
              <w:t>(</w:t>
            </w:r>
            <w:r w:rsidR="0024557C" w:rsidRPr="00962F8F">
              <w:rPr>
                <w:rFonts w:ascii="Georgia" w:hAnsi="Georgia" w:cs="Arial"/>
                <w:sz w:val="18"/>
                <w:szCs w:val="18"/>
              </w:rPr>
              <w:t xml:space="preserve">i.e., </w:t>
            </w:r>
            <w:r w:rsidR="00FB0781" w:rsidRPr="00962F8F">
              <w:rPr>
                <w:rFonts w:ascii="Georgia" w:hAnsi="Georgia" w:cs="Arial"/>
                <w:sz w:val="18"/>
                <w:szCs w:val="18"/>
              </w:rPr>
              <w:t xml:space="preserve">management team and/or relevant </w:t>
            </w:r>
            <w:r w:rsidR="00CF24DE" w:rsidRPr="00962F8F">
              <w:rPr>
                <w:rFonts w:ascii="Georgia" w:hAnsi="Georgia" w:cs="Arial"/>
                <w:sz w:val="18"/>
                <w:szCs w:val="18"/>
              </w:rPr>
              <w:t>E</w:t>
            </w:r>
            <w:r w:rsidR="00CF24DE" w:rsidRPr="00962F8F">
              <w:rPr>
                <w:rFonts w:ascii="Georgia" w:hAnsi="Georgia"/>
                <w:sz w:val="18"/>
                <w:szCs w:val="18"/>
              </w:rPr>
              <w:t>&amp;S</w:t>
            </w:r>
            <w:r w:rsidR="00FB0781" w:rsidRPr="00962F8F">
              <w:rPr>
                <w:rFonts w:ascii="Georgia" w:hAnsi="Georgia" w:cs="Arial"/>
                <w:sz w:val="18"/>
                <w:szCs w:val="18"/>
              </w:rPr>
              <w:t xml:space="preserve"> teams</w:t>
            </w:r>
            <w:proofErr w:type="gramStart"/>
            <w:r w:rsidR="00FB0781" w:rsidRPr="00962F8F">
              <w:rPr>
                <w:rFonts w:ascii="Georgia" w:hAnsi="Georgia" w:cs="Arial"/>
                <w:sz w:val="18"/>
                <w:szCs w:val="18"/>
              </w:rPr>
              <w:t>)</w:t>
            </w:r>
            <w:r w:rsidRPr="00962F8F">
              <w:rPr>
                <w:rFonts w:ascii="Georgia" w:hAnsi="Georgia" w:cs="Arial"/>
                <w:sz w:val="18"/>
                <w:szCs w:val="18"/>
              </w:rPr>
              <w:t>;</w:t>
            </w:r>
            <w:proofErr w:type="gramEnd"/>
          </w:p>
          <w:p w14:paraId="2932DBD3" w14:textId="6093EBD9" w:rsidR="000D1B6F" w:rsidRPr="00962F8F" w:rsidRDefault="00FB0781" w:rsidP="00772D7C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S</w:t>
            </w:r>
            <w:r w:rsidR="000D1B6F" w:rsidRPr="00962F8F">
              <w:rPr>
                <w:rFonts w:ascii="Georgia" w:hAnsi="Georgia" w:cs="Arial"/>
                <w:sz w:val="18"/>
                <w:szCs w:val="18"/>
              </w:rPr>
              <w:t>ite visit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(conducted by</w:t>
            </w:r>
            <w:r w:rsidR="0024557C" w:rsidRPr="00962F8F">
              <w:rPr>
                <w:rFonts w:ascii="Georgia" w:hAnsi="Georgia" w:cs="Arial"/>
                <w:sz w:val="18"/>
                <w:szCs w:val="18"/>
              </w:rPr>
              <w:t xml:space="preserve"> the FI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CA5EB5" w:rsidRPr="00962F8F">
              <w:rPr>
                <w:rFonts w:ascii="Georgia" w:hAnsi="Georgia" w:cs="Arial"/>
                <w:sz w:val="18"/>
                <w:szCs w:val="18"/>
              </w:rPr>
              <w:t>transaction</w:t>
            </w:r>
            <w:r w:rsidR="0024557C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962F8F">
              <w:rPr>
                <w:rFonts w:ascii="Georgia" w:hAnsi="Georgia" w:cs="Arial"/>
                <w:sz w:val="18"/>
                <w:szCs w:val="18"/>
              </w:rPr>
              <w:t>team and/or the E</w:t>
            </w:r>
            <w:r w:rsidR="0024557C" w:rsidRPr="00962F8F">
              <w:rPr>
                <w:rFonts w:ascii="Georgia" w:hAnsi="Georgia" w:cs="Arial"/>
                <w:sz w:val="18"/>
                <w:szCs w:val="18"/>
              </w:rPr>
              <w:t>&amp;</w:t>
            </w:r>
            <w:r w:rsidRPr="00962F8F">
              <w:rPr>
                <w:rFonts w:ascii="Georgia" w:hAnsi="Georgia" w:cs="Arial"/>
                <w:sz w:val="18"/>
                <w:szCs w:val="18"/>
              </w:rPr>
              <w:t>S</w:t>
            </w:r>
            <w:r w:rsidR="0024557C" w:rsidRPr="00962F8F">
              <w:rPr>
                <w:rFonts w:ascii="Georgia" w:hAnsi="Georgia" w:cs="Arial"/>
                <w:sz w:val="18"/>
                <w:szCs w:val="18"/>
              </w:rPr>
              <w:t xml:space="preserve"> Officer</w:t>
            </w:r>
            <w:r w:rsidRPr="00962F8F">
              <w:rPr>
                <w:rFonts w:ascii="Georgia" w:hAnsi="Georgia" w:cs="Arial"/>
                <w:sz w:val="18"/>
                <w:szCs w:val="18"/>
              </w:rPr>
              <w:t>)</w:t>
            </w:r>
            <w:r w:rsidR="000D1B6F" w:rsidRPr="00962F8F">
              <w:rPr>
                <w:rFonts w:ascii="Georgia" w:hAnsi="Georgia" w:cs="Arial"/>
                <w:sz w:val="18"/>
                <w:szCs w:val="18"/>
              </w:rPr>
              <w:t>; and</w:t>
            </w:r>
          </w:p>
          <w:p w14:paraId="1F280997" w14:textId="5ADE04E0" w:rsidR="000D1B6F" w:rsidRPr="00962F8F" w:rsidRDefault="000D1B6F" w:rsidP="00772D7C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 xml:space="preserve">Formalisation of an </w:t>
            </w:r>
            <w:r w:rsidR="004F1F4E" w:rsidRPr="00962F8F">
              <w:rPr>
                <w:rFonts w:ascii="Georgia" w:hAnsi="Georgia" w:cs="Arial"/>
                <w:sz w:val="18"/>
                <w:szCs w:val="18"/>
              </w:rPr>
              <w:t>ESDD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962F8F">
              <w:rPr>
                <w:rFonts w:ascii="Georgia" w:hAnsi="Georgia" w:cs="Arial"/>
                <w:sz w:val="18"/>
                <w:szCs w:val="18"/>
              </w:rPr>
              <w:t>report including a summary and an E&amp;S Action Plan (ESAP)</w:t>
            </w:r>
            <w:r w:rsidR="0024557C" w:rsidRPr="00962F8F">
              <w:rPr>
                <w:rFonts w:ascii="Georgia" w:hAnsi="Georgia" w:cs="Arial"/>
                <w:sz w:val="18"/>
                <w:szCs w:val="18"/>
              </w:rPr>
              <w:t xml:space="preserve">. </w:t>
            </w:r>
          </w:p>
          <w:p w14:paraId="4EEE38A0" w14:textId="64FD9C48" w:rsidR="000D1B6F" w:rsidRPr="00962F8F" w:rsidDel="00776755" w:rsidRDefault="00AB3D9C" w:rsidP="00144E4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spacing w:after="0" w:line="240" w:lineRule="auto"/>
              <w:ind w:left="317" w:hanging="283"/>
              <w:rPr>
                <w:rFonts w:ascii="Georgia" w:hAnsi="Georgia" w:cs="Arial"/>
                <w:sz w:val="18"/>
                <w:szCs w:val="18"/>
              </w:rPr>
            </w:pPr>
            <w:r w:rsidRPr="00962F8F">
              <w:rPr>
                <w:rFonts w:ascii="Georgia" w:hAnsi="Georgia" w:cs="Arial"/>
                <w:sz w:val="18"/>
                <w:szCs w:val="18"/>
              </w:rPr>
              <w:t>To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 xml:space="preserve"> ensure that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all 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>appointed external consultant</w:t>
            </w:r>
            <w:r w:rsidRPr="00962F8F">
              <w:rPr>
                <w:rFonts w:ascii="Georgia" w:hAnsi="Georgia" w:cs="Arial"/>
                <w:sz w:val="18"/>
                <w:szCs w:val="18"/>
              </w:rPr>
              <w:t>s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are 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 xml:space="preserve">competent, knowledgeable and qualified to carry out the </w:t>
            </w:r>
            <w:r w:rsidR="004F1F4E" w:rsidRPr="00962F8F">
              <w:rPr>
                <w:rFonts w:ascii="Georgia" w:hAnsi="Georgia" w:cs="Arial"/>
                <w:sz w:val="18"/>
                <w:szCs w:val="18"/>
              </w:rPr>
              <w:t>ESDD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 xml:space="preserve"> as well as execute the assessment in accordance with the FI’s E</w:t>
            </w:r>
            <w:r w:rsidR="0024557C" w:rsidRPr="00962F8F">
              <w:rPr>
                <w:rFonts w:ascii="Georgia" w:hAnsi="Georgia" w:cs="Arial"/>
                <w:sz w:val="18"/>
                <w:szCs w:val="18"/>
              </w:rPr>
              <w:t>&amp;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 xml:space="preserve">S </w:t>
            </w:r>
            <w:r w:rsidR="0024557C" w:rsidRPr="00962F8F">
              <w:rPr>
                <w:rFonts w:ascii="Georgia" w:hAnsi="Georgia" w:cs="Arial"/>
                <w:sz w:val="18"/>
                <w:szCs w:val="18"/>
              </w:rPr>
              <w:t xml:space="preserve">policies 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 xml:space="preserve">and other prescribed </w:t>
            </w:r>
            <w:r w:rsidR="00CF24DE" w:rsidRPr="00962F8F">
              <w:rPr>
                <w:rFonts w:ascii="Georgia" w:hAnsi="Georgia" w:cs="Arial"/>
                <w:sz w:val="18"/>
                <w:szCs w:val="18"/>
              </w:rPr>
              <w:t>E</w:t>
            </w:r>
            <w:r w:rsidR="00CF24DE" w:rsidRPr="00962F8F">
              <w:rPr>
                <w:rFonts w:ascii="Georgia" w:hAnsi="Georgia"/>
                <w:sz w:val="18"/>
                <w:szCs w:val="18"/>
              </w:rPr>
              <w:t>&amp;S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 xml:space="preserve"> requirements, an </w:t>
            </w:r>
            <w:r w:rsidR="004F1F4E" w:rsidRPr="00962F8F">
              <w:rPr>
                <w:rFonts w:ascii="Georgia" w:hAnsi="Georgia" w:cs="Arial"/>
                <w:sz w:val="18"/>
                <w:szCs w:val="18"/>
              </w:rPr>
              <w:t>ESDD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 xml:space="preserve"> Terms of Reference (</w:t>
            </w:r>
            <w:proofErr w:type="spellStart"/>
            <w:r w:rsidR="00144E49" w:rsidRPr="00962F8F">
              <w:rPr>
                <w:rFonts w:ascii="Georgia" w:hAnsi="Georgia" w:cs="Arial"/>
                <w:sz w:val="18"/>
                <w:szCs w:val="18"/>
              </w:rPr>
              <w:t>ToR</w:t>
            </w:r>
            <w:proofErr w:type="spellEnd"/>
            <w:r w:rsidR="00144E49" w:rsidRPr="00962F8F">
              <w:rPr>
                <w:rFonts w:ascii="Georgia" w:hAnsi="Georgia" w:cs="Arial"/>
                <w:sz w:val="18"/>
                <w:szCs w:val="18"/>
              </w:rPr>
              <w:t xml:space="preserve">) should be set.  This should 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include 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 xml:space="preserve">description of the 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lastRenderedPageBreak/>
              <w:t xml:space="preserve">transaction, objectives of the </w:t>
            </w:r>
            <w:r w:rsidR="004F1F4E" w:rsidRPr="00962F8F">
              <w:rPr>
                <w:rFonts w:ascii="Georgia" w:hAnsi="Georgia" w:cs="Arial"/>
                <w:sz w:val="18"/>
                <w:szCs w:val="18"/>
              </w:rPr>
              <w:t>ESDD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 xml:space="preserve">, applicable standards and </w:t>
            </w:r>
            <w:r w:rsidRPr="00962F8F">
              <w:rPr>
                <w:rFonts w:ascii="Georgia" w:hAnsi="Georgia" w:cs="Arial"/>
                <w:sz w:val="18"/>
                <w:szCs w:val="18"/>
              </w:rPr>
              <w:t>guidelines</w:t>
            </w:r>
            <w:r w:rsidR="00144E49" w:rsidRPr="00962F8F">
              <w:rPr>
                <w:rFonts w:ascii="Georgia" w:hAnsi="Georgia" w:cs="Arial"/>
                <w:sz w:val="18"/>
                <w:szCs w:val="18"/>
              </w:rPr>
              <w:t xml:space="preserve">, outputs, </w:t>
            </w:r>
            <w:proofErr w:type="gramStart"/>
            <w:r w:rsidR="00144E49" w:rsidRPr="00962F8F">
              <w:rPr>
                <w:rFonts w:ascii="Georgia" w:hAnsi="Georgia" w:cs="Arial"/>
                <w:sz w:val="18"/>
                <w:szCs w:val="18"/>
              </w:rPr>
              <w:t>timelines</w:t>
            </w:r>
            <w:proofErr w:type="gramEnd"/>
            <w:r w:rsidR="00144E49" w:rsidRPr="00962F8F">
              <w:rPr>
                <w:rFonts w:ascii="Georgia" w:hAnsi="Georgia" w:cs="Arial"/>
                <w:sz w:val="18"/>
                <w:szCs w:val="18"/>
              </w:rPr>
              <w:t xml:space="preserve"> and desired consultant qualification</w:t>
            </w:r>
            <w:r w:rsidRPr="00962F8F">
              <w:rPr>
                <w:rFonts w:ascii="Georgia" w:hAnsi="Georgia" w:cs="Arial"/>
                <w:sz w:val="18"/>
                <w:szCs w:val="18"/>
              </w:rPr>
              <w:t xml:space="preserve">. </w:t>
            </w:r>
          </w:p>
        </w:tc>
      </w:tr>
    </w:tbl>
    <w:p w14:paraId="720A6E74" w14:textId="153C490F" w:rsidR="003D2137" w:rsidRPr="00962F8F" w:rsidRDefault="003D2137">
      <w:pPr>
        <w:rPr>
          <w:rFonts w:ascii="Georgia" w:hAnsi="Georgia"/>
        </w:rPr>
      </w:pPr>
    </w:p>
    <w:p w14:paraId="0B11C14D" w14:textId="77777777" w:rsidR="003D2137" w:rsidRPr="00962F8F" w:rsidRDefault="003D2137">
      <w:pPr>
        <w:rPr>
          <w:rFonts w:ascii="Georgia" w:hAnsi="Georgia"/>
        </w:rPr>
        <w:sectPr w:rsidR="003D2137" w:rsidRPr="00962F8F" w:rsidSect="00A17B0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56EE1" w:rsidRPr="00962F8F" w14:paraId="5A37756B" w14:textId="77777777" w:rsidTr="00B56EE1">
        <w:tc>
          <w:tcPr>
            <w:tcW w:w="14174" w:type="dxa"/>
            <w:shd w:val="clear" w:color="auto" w:fill="DBE5F1" w:themeFill="accent1" w:themeFillTint="33"/>
          </w:tcPr>
          <w:p w14:paraId="4A8A1BFF" w14:textId="77777777" w:rsidR="00B56EE1" w:rsidRPr="00962F8F" w:rsidRDefault="00B56EE1" w:rsidP="00B56EE1">
            <w:pPr>
              <w:shd w:val="clear" w:color="auto" w:fill="DBE5F1" w:themeFill="accent1" w:themeFillTint="33"/>
              <w:rPr>
                <w:rFonts w:ascii="Georgia" w:hAnsi="Georgia" w:cs="Arial"/>
                <w:b/>
                <w:sz w:val="20"/>
                <w:szCs w:val="20"/>
              </w:rPr>
            </w:pPr>
            <w:r w:rsidRPr="00962F8F">
              <w:rPr>
                <w:rFonts w:ascii="Georgia" w:hAnsi="Georgia" w:cs="Arial"/>
                <w:b/>
                <w:sz w:val="20"/>
                <w:szCs w:val="20"/>
              </w:rPr>
              <w:lastRenderedPageBreak/>
              <w:t>MOST FREQUENT AND RELEVANT RISK, IMPACTS AND OPPORTUNITIES PER SECTOR</w:t>
            </w:r>
          </w:p>
          <w:p w14:paraId="5CFDB112" w14:textId="77777777" w:rsidR="00B56EE1" w:rsidRPr="00962F8F" w:rsidRDefault="00B56EE1" w:rsidP="00BC2550">
            <w:pPr>
              <w:shd w:val="clear" w:color="auto" w:fill="DBE5F1" w:themeFill="accent1" w:themeFillTint="33"/>
              <w:spacing w:after="0"/>
              <w:rPr>
                <w:rFonts w:ascii="Georgia" w:hAnsi="Georgia" w:cs="Arial"/>
                <w:bCs/>
                <w:sz w:val="18"/>
                <w:szCs w:val="18"/>
              </w:rPr>
            </w:pPr>
            <w:r w:rsidRPr="00962F8F">
              <w:rPr>
                <w:rFonts w:ascii="Georgia" w:hAnsi="Georgia" w:cs="Arial"/>
                <w:bCs/>
                <w:sz w:val="18"/>
                <w:szCs w:val="18"/>
              </w:rPr>
              <w:t>Indicative E&amp;S risks and opportunities by sector:</w:t>
            </w:r>
          </w:p>
          <w:p w14:paraId="5F2B3070" w14:textId="2EF91E58" w:rsidR="00B56EE1" w:rsidRPr="00962F8F" w:rsidRDefault="00B56EE1" w:rsidP="00BC2550">
            <w:pPr>
              <w:shd w:val="clear" w:color="auto" w:fill="DBE5F1" w:themeFill="accent1" w:themeFillTint="33"/>
              <w:spacing w:before="40" w:after="4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962F8F">
              <w:rPr>
                <w:rFonts w:ascii="Georgia" w:hAnsi="Georgia"/>
                <w:color w:val="FF0000"/>
                <w:sz w:val="28"/>
                <w:szCs w:val="32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8"/>
                <w:szCs w:val="32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8"/>
                <w:szCs w:val="32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8"/>
                <w:szCs w:val="32"/>
              </w:rPr>
              <w:t xml:space="preserve">     </w:t>
            </w:r>
            <w:r w:rsidRPr="00962F8F">
              <w:rPr>
                <w:rFonts w:ascii="Georgia" w:hAnsi="Georgia" w:cs="Arial"/>
                <w:bCs/>
                <w:sz w:val="18"/>
                <w:szCs w:val="18"/>
              </w:rPr>
              <w:t>Indicates that this topic can typically generate significant business risks in a sector if not well managed</w:t>
            </w:r>
          </w:p>
          <w:p w14:paraId="16EE1C58" w14:textId="150588A2" w:rsidR="00B56EE1" w:rsidRPr="00962F8F" w:rsidRDefault="00B56EE1" w:rsidP="00BC2550">
            <w:pPr>
              <w:shd w:val="clear" w:color="auto" w:fill="DBE5F1" w:themeFill="accent1" w:themeFillTint="33"/>
              <w:spacing w:before="40" w:after="40" w:line="240" w:lineRule="auto"/>
              <w:rPr>
                <w:rFonts w:ascii="Georgia" w:hAnsi="Georgia" w:cs="Arial"/>
                <w:bCs/>
                <w:sz w:val="18"/>
                <w:szCs w:val="18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8"/>
                <w:szCs w:val="28"/>
              </w:rPr>
              <w:sym w:font="Symbol" w:char="F0B7"/>
            </w:r>
            <w:r w:rsidRPr="00962F8F">
              <w:rPr>
                <w:rFonts w:ascii="Georgia" w:hAnsi="Georgia"/>
                <w:color w:val="943634" w:themeColor="accent2" w:themeShade="BF"/>
                <w:sz w:val="28"/>
                <w:szCs w:val="28"/>
              </w:rPr>
              <w:t xml:space="preserve">       </w:t>
            </w:r>
            <w:r w:rsidRPr="00962F8F">
              <w:rPr>
                <w:rFonts w:ascii="Georgia" w:hAnsi="Georgia" w:cs="Arial"/>
                <w:bCs/>
                <w:sz w:val="18"/>
                <w:szCs w:val="18"/>
              </w:rPr>
              <w:t>Indicates that this topic (</w:t>
            </w:r>
            <w:proofErr w:type="spellStart"/>
            <w:r w:rsidRPr="00962F8F">
              <w:rPr>
                <w:rFonts w:ascii="Georgia" w:hAnsi="Georgia" w:cs="Arial"/>
                <w:bCs/>
                <w:sz w:val="18"/>
                <w:szCs w:val="18"/>
              </w:rPr>
              <w:t>i</w:t>
            </w:r>
            <w:proofErr w:type="spellEnd"/>
            <w:r w:rsidRPr="00962F8F">
              <w:rPr>
                <w:rFonts w:ascii="Georgia" w:hAnsi="Georgia" w:cs="Arial"/>
                <w:bCs/>
                <w:sz w:val="18"/>
                <w:szCs w:val="18"/>
              </w:rPr>
              <w:t>) typically generates less significant business risks in this sector if not well managed and /or (ii) is less frequently encountered in the sector.</w:t>
            </w:r>
          </w:p>
          <w:p w14:paraId="47C225C6" w14:textId="1095B7C1" w:rsidR="00B56EE1" w:rsidRPr="00962F8F" w:rsidRDefault="00B56EE1" w:rsidP="00BC2550">
            <w:pPr>
              <w:shd w:val="clear" w:color="auto" w:fill="DBE5F1" w:themeFill="accent1" w:themeFillTint="33"/>
              <w:spacing w:before="40" w:after="4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962F8F">
              <w:rPr>
                <w:rFonts w:ascii="Georgia" w:hAnsi="Georgia" w:cs="Arial"/>
                <w:bCs/>
                <w:sz w:val="18"/>
                <w:szCs w:val="18"/>
              </w:rPr>
              <w:t>Blank      Topic very unlikely to be relevant</w:t>
            </w:r>
            <w:r w:rsidRPr="00962F8F">
              <w:rPr>
                <w:rFonts w:ascii="Georgia" w:hAnsi="Georgia" w:cs="Arial"/>
                <w:b/>
                <w:sz w:val="20"/>
                <w:szCs w:val="20"/>
              </w:rPr>
              <w:t>.</w:t>
            </w:r>
          </w:p>
          <w:p w14:paraId="45293DDF" w14:textId="08416B91" w:rsidR="00B56EE1" w:rsidRPr="00962F8F" w:rsidRDefault="00B56EE1" w:rsidP="00BC2550">
            <w:pPr>
              <w:shd w:val="clear" w:color="auto" w:fill="DBE5F1" w:themeFill="accent1" w:themeFillTint="33"/>
              <w:spacing w:before="40" w:after="4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18"/>
                <w:szCs w:val="18"/>
              </w:rPr>
              <w:t>★</w:t>
            </w:r>
            <w:r w:rsidRPr="00962F8F">
              <w:rPr>
                <w:rFonts w:ascii="Georgia" w:eastAsia="MS Gothic" w:hAnsi="Georgia" w:cs="MS Gothic"/>
                <w:color w:val="17365D" w:themeColor="text2" w:themeShade="BF"/>
                <w:sz w:val="18"/>
                <w:szCs w:val="18"/>
              </w:rPr>
              <w:t xml:space="preserve">     </w:t>
            </w:r>
            <w:r w:rsidRPr="00962F8F">
              <w:rPr>
                <w:rFonts w:ascii="Georgia" w:hAnsi="Georgia" w:cs="Arial"/>
                <w:bCs/>
                <w:sz w:val="18"/>
                <w:szCs w:val="18"/>
              </w:rPr>
              <w:t>Indicates significant opportunities to add value in this sector by proactively addressing the topic</w:t>
            </w:r>
          </w:p>
        </w:tc>
      </w:tr>
    </w:tbl>
    <w:p w14:paraId="38298F6C" w14:textId="1F155EBD" w:rsidR="003D2137" w:rsidRPr="00962F8F" w:rsidRDefault="003D2137" w:rsidP="00BC2550">
      <w:pPr>
        <w:rPr>
          <w:rFonts w:ascii="Georgia" w:hAnsi="Georgia" w:cs="Arial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630"/>
        <w:gridCol w:w="1612"/>
        <w:gridCol w:w="1615"/>
        <w:gridCol w:w="1621"/>
        <w:gridCol w:w="1631"/>
        <w:gridCol w:w="1627"/>
        <w:gridCol w:w="1618"/>
      </w:tblGrid>
      <w:tr w:rsidR="003D2137" w:rsidRPr="00962F8F" w14:paraId="04DFA85B" w14:textId="77777777" w:rsidTr="00BC2550">
        <w:trPr>
          <w:cantSplit/>
          <w:trHeight w:val="810"/>
          <w:tblHeader/>
        </w:trPr>
        <w:tc>
          <w:tcPr>
            <w:tcW w:w="2660" w:type="dxa"/>
            <w:shd w:val="clear" w:color="auto" w:fill="17365D" w:themeFill="text2" w:themeFillShade="BF"/>
          </w:tcPr>
          <w:p w14:paraId="2D6FE812" w14:textId="77777777" w:rsidR="003D2137" w:rsidRPr="00962F8F" w:rsidRDefault="003D2137" w:rsidP="00AE7F96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17365D" w:themeFill="text2" w:themeFillShade="BF"/>
            <w:vAlign w:val="center"/>
          </w:tcPr>
          <w:p w14:paraId="3926B91B" w14:textId="77777777" w:rsidR="003D2137" w:rsidRPr="00962F8F" w:rsidRDefault="003D2137" w:rsidP="00BC2550">
            <w:pPr>
              <w:spacing w:after="0"/>
              <w:jc w:val="center"/>
              <w:rPr>
                <w:rFonts w:ascii="Georgia" w:hAnsi="Georgia" w:cs="Arial"/>
                <w:b/>
                <w:i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>General E&amp;S management</w:t>
            </w:r>
          </w:p>
        </w:tc>
        <w:tc>
          <w:tcPr>
            <w:tcW w:w="1645" w:type="dxa"/>
            <w:shd w:val="clear" w:color="auto" w:fill="17365D" w:themeFill="text2" w:themeFillShade="BF"/>
            <w:vAlign w:val="center"/>
          </w:tcPr>
          <w:p w14:paraId="1D980DFD" w14:textId="77777777" w:rsidR="003D2137" w:rsidRPr="00962F8F" w:rsidRDefault="003D2137" w:rsidP="00BC2550">
            <w:pPr>
              <w:spacing w:after="0"/>
              <w:jc w:val="center"/>
              <w:rPr>
                <w:rFonts w:ascii="Georgia" w:hAnsi="Georgia" w:cs="Arial"/>
                <w:b/>
                <w:i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>Labour and working conditions</w:t>
            </w:r>
          </w:p>
        </w:tc>
        <w:tc>
          <w:tcPr>
            <w:tcW w:w="1645" w:type="dxa"/>
            <w:shd w:val="clear" w:color="auto" w:fill="17365D" w:themeFill="text2" w:themeFillShade="BF"/>
            <w:vAlign w:val="center"/>
          </w:tcPr>
          <w:p w14:paraId="6D5D59D5" w14:textId="77777777" w:rsidR="003D2137" w:rsidRPr="00962F8F" w:rsidRDefault="003D2137" w:rsidP="00BC2550">
            <w:pPr>
              <w:spacing w:after="0"/>
              <w:jc w:val="center"/>
              <w:rPr>
                <w:rFonts w:ascii="Georgia" w:hAnsi="Georgia" w:cs="Arial"/>
                <w:b/>
                <w:i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>Pollution prevention and resource use efficiency</w:t>
            </w:r>
          </w:p>
        </w:tc>
        <w:tc>
          <w:tcPr>
            <w:tcW w:w="1645" w:type="dxa"/>
            <w:shd w:val="clear" w:color="auto" w:fill="17365D" w:themeFill="text2" w:themeFillShade="BF"/>
            <w:vAlign w:val="center"/>
          </w:tcPr>
          <w:p w14:paraId="314C1FB0" w14:textId="6EB77C46" w:rsidR="003D2137" w:rsidRPr="00962F8F" w:rsidRDefault="003D2137" w:rsidP="00BC2550">
            <w:pPr>
              <w:spacing w:after="0"/>
              <w:jc w:val="center"/>
              <w:rPr>
                <w:rFonts w:ascii="Georgia" w:hAnsi="Georgia" w:cs="Arial"/>
                <w:b/>
                <w:i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 xml:space="preserve">Community </w:t>
            </w:r>
            <w:r w:rsidR="000D1B6F"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>health,</w:t>
            </w:r>
            <w:r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>safety</w:t>
            </w:r>
            <w:proofErr w:type="gramEnd"/>
            <w:r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 xml:space="preserve"> and security</w:t>
            </w:r>
          </w:p>
        </w:tc>
        <w:tc>
          <w:tcPr>
            <w:tcW w:w="1645" w:type="dxa"/>
            <w:shd w:val="clear" w:color="auto" w:fill="17365D" w:themeFill="text2" w:themeFillShade="BF"/>
            <w:vAlign w:val="center"/>
          </w:tcPr>
          <w:p w14:paraId="50687E93" w14:textId="77777777" w:rsidR="003D2137" w:rsidRPr="00962F8F" w:rsidRDefault="003D2137" w:rsidP="00BC2550">
            <w:pPr>
              <w:spacing w:after="0"/>
              <w:jc w:val="center"/>
              <w:rPr>
                <w:rFonts w:ascii="Georgia" w:hAnsi="Georgia" w:cs="Arial"/>
                <w:b/>
                <w:i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>Biodiversity conservation and natural resources management</w:t>
            </w:r>
          </w:p>
        </w:tc>
        <w:tc>
          <w:tcPr>
            <w:tcW w:w="1645" w:type="dxa"/>
            <w:shd w:val="clear" w:color="auto" w:fill="17365D" w:themeFill="text2" w:themeFillShade="BF"/>
            <w:vAlign w:val="center"/>
          </w:tcPr>
          <w:p w14:paraId="53CCACDC" w14:textId="77777777" w:rsidR="003D2137" w:rsidRPr="00962F8F" w:rsidRDefault="003D2137" w:rsidP="00BC2550">
            <w:pPr>
              <w:spacing w:after="0"/>
              <w:jc w:val="center"/>
              <w:rPr>
                <w:rFonts w:ascii="Georgia" w:hAnsi="Georgia" w:cs="Arial"/>
                <w:b/>
                <w:i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>Land acquisition and involuntary resettlement</w:t>
            </w:r>
          </w:p>
        </w:tc>
        <w:tc>
          <w:tcPr>
            <w:tcW w:w="1645" w:type="dxa"/>
            <w:shd w:val="clear" w:color="auto" w:fill="17365D" w:themeFill="text2" w:themeFillShade="BF"/>
            <w:vAlign w:val="center"/>
          </w:tcPr>
          <w:p w14:paraId="6E105D7E" w14:textId="77777777" w:rsidR="003D2137" w:rsidRPr="00962F8F" w:rsidRDefault="003D2137" w:rsidP="00BC2550">
            <w:pPr>
              <w:spacing w:after="0"/>
              <w:jc w:val="center"/>
              <w:rPr>
                <w:rFonts w:ascii="Georgia" w:hAnsi="Georgia" w:cs="Arial"/>
                <w:b/>
                <w:i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i/>
                <w:sz w:val="18"/>
                <w:szCs w:val="18"/>
              </w:rPr>
              <w:t>Indigenous People and cultural heritage</w:t>
            </w:r>
          </w:p>
        </w:tc>
      </w:tr>
      <w:tr w:rsidR="003D2137" w:rsidRPr="00962F8F" w14:paraId="259D0634" w14:textId="77777777" w:rsidTr="00AE7F96">
        <w:tc>
          <w:tcPr>
            <w:tcW w:w="2660" w:type="dxa"/>
            <w:shd w:val="clear" w:color="auto" w:fill="17365D" w:themeFill="text2" w:themeFillShade="BF"/>
          </w:tcPr>
          <w:p w14:paraId="134A6F06" w14:textId="6C8B1E12" w:rsidR="003D2137" w:rsidRPr="00962F8F" w:rsidRDefault="003D2137" w:rsidP="00AE7F96">
            <w:pPr>
              <w:spacing w:after="0"/>
              <w:rPr>
                <w:rFonts w:ascii="Georgia" w:hAnsi="Georgia" w:cs="Arial"/>
                <w:b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sz w:val="18"/>
                <w:szCs w:val="18"/>
              </w:rPr>
              <w:t>Design and Construction</w:t>
            </w:r>
            <w:r w:rsidR="003D1E84" w:rsidRPr="00962F8F">
              <w:rPr>
                <w:rFonts w:ascii="Georgia" w:hAnsi="Georgia" w:cs="Arial"/>
                <w:b/>
                <w:sz w:val="18"/>
                <w:szCs w:val="18"/>
              </w:rPr>
              <w:t xml:space="preserve"> P</w:t>
            </w:r>
            <w:r w:rsidRPr="00962F8F">
              <w:rPr>
                <w:rFonts w:ascii="Georgia" w:hAnsi="Georgia" w:cs="Arial"/>
                <w:b/>
                <w:sz w:val="18"/>
                <w:szCs w:val="18"/>
              </w:rPr>
              <w:t xml:space="preserve">hase </w:t>
            </w:r>
          </w:p>
        </w:tc>
        <w:tc>
          <w:tcPr>
            <w:tcW w:w="1644" w:type="dxa"/>
          </w:tcPr>
          <w:p w14:paraId="2991E2FE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5CBDEB62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7CFC08E2" w14:textId="1D7D100D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943634" w:themeColor="accen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6BEDB0B9" w14:textId="0773FB0F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943634" w:themeColor="accen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18A19555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943634" w:themeColor="accen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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09EA958E" w14:textId="6514C7D9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943634" w:themeColor="accen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07781A7E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943634" w:themeColor="accen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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</w:tr>
      <w:tr w:rsidR="003D2137" w:rsidRPr="00962F8F" w14:paraId="62A03615" w14:textId="77777777" w:rsidTr="00AE7F96">
        <w:tc>
          <w:tcPr>
            <w:tcW w:w="2660" w:type="dxa"/>
            <w:shd w:val="clear" w:color="auto" w:fill="17365D" w:themeFill="text2" w:themeFillShade="BF"/>
          </w:tcPr>
          <w:p w14:paraId="1403B5BC" w14:textId="77777777" w:rsidR="003D2137" w:rsidRPr="00962F8F" w:rsidRDefault="003D2137" w:rsidP="00AE7F96">
            <w:pPr>
              <w:spacing w:after="0"/>
              <w:rPr>
                <w:rFonts w:ascii="Georgia" w:hAnsi="Georgia" w:cs="Arial"/>
                <w:b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sz w:val="18"/>
                <w:szCs w:val="18"/>
              </w:rPr>
              <w:t>Agribusiness and Aquaculture</w:t>
            </w:r>
          </w:p>
        </w:tc>
        <w:tc>
          <w:tcPr>
            <w:tcW w:w="1644" w:type="dxa"/>
          </w:tcPr>
          <w:p w14:paraId="6D5FB3A7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0B7BFD04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2EA632EF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38FCC24E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53B70F1D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30CBB124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1157713F" w14:textId="7A4FD63D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="004E7702"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 xml:space="preserve"> / </w:t>
            </w:r>
            <w:r w:rsidR="004E7702"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="004E7702"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="004E7702"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</w:tr>
      <w:tr w:rsidR="003D2137" w:rsidRPr="00962F8F" w14:paraId="207C0494" w14:textId="77777777" w:rsidTr="00AE7F96">
        <w:tc>
          <w:tcPr>
            <w:tcW w:w="2660" w:type="dxa"/>
            <w:shd w:val="clear" w:color="auto" w:fill="17365D" w:themeFill="text2" w:themeFillShade="BF"/>
          </w:tcPr>
          <w:p w14:paraId="3747A64F" w14:textId="77777777" w:rsidR="003D2137" w:rsidRPr="00962F8F" w:rsidRDefault="003D2137" w:rsidP="00AE7F96">
            <w:pPr>
              <w:spacing w:after="0"/>
              <w:rPr>
                <w:rFonts w:ascii="Georgia" w:hAnsi="Georgia" w:cs="Arial"/>
                <w:b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sz w:val="18"/>
                <w:szCs w:val="18"/>
              </w:rPr>
              <w:t>Power</w:t>
            </w:r>
          </w:p>
        </w:tc>
        <w:tc>
          <w:tcPr>
            <w:tcW w:w="1644" w:type="dxa"/>
          </w:tcPr>
          <w:p w14:paraId="52C40701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454D9731" w14:textId="6943BCC7" w:rsidR="003D2137" w:rsidRPr="00962F8F" w:rsidRDefault="00416119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="003D2137"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4CAE06DF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4B4A6B35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00FFB410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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6CAB7B30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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09A1D52E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</w:tr>
      <w:tr w:rsidR="003D2137" w:rsidRPr="00962F8F" w14:paraId="40CDC0BF" w14:textId="77777777" w:rsidTr="00AE7F96">
        <w:tc>
          <w:tcPr>
            <w:tcW w:w="2660" w:type="dxa"/>
            <w:shd w:val="clear" w:color="auto" w:fill="17365D" w:themeFill="text2" w:themeFillShade="BF"/>
          </w:tcPr>
          <w:p w14:paraId="50C86473" w14:textId="77777777" w:rsidR="003D2137" w:rsidRPr="00962F8F" w:rsidRDefault="003D2137" w:rsidP="00AE7F96">
            <w:pPr>
              <w:spacing w:after="0"/>
              <w:rPr>
                <w:rFonts w:ascii="Georgia" w:hAnsi="Georgia" w:cs="Arial"/>
                <w:b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sz w:val="18"/>
                <w:szCs w:val="18"/>
              </w:rPr>
              <w:t>Fisheries</w:t>
            </w:r>
          </w:p>
        </w:tc>
        <w:tc>
          <w:tcPr>
            <w:tcW w:w="1644" w:type="dxa"/>
          </w:tcPr>
          <w:p w14:paraId="32C282F1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6B26385B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344CEEF9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0678A04D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5CAA5548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0D96848D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267BD15" w14:textId="6ECC0CA5" w:rsidR="003D2137" w:rsidRPr="00962F8F" w:rsidRDefault="00416119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</w:tr>
      <w:tr w:rsidR="003D2137" w:rsidRPr="00962F8F" w14:paraId="03154C75" w14:textId="77777777" w:rsidTr="00AE7F96">
        <w:tc>
          <w:tcPr>
            <w:tcW w:w="2660" w:type="dxa"/>
            <w:shd w:val="clear" w:color="auto" w:fill="17365D" w:themeFill="text2" w:themeFillShade="BF"/>
          </w:tcPr>
          <w:p w14:paraId="30682B5E" w14:textId="77777777" w:rsidR="003D2137" w:rsidRPr="00962F8F" w:rsidRDefault="003D2137" w:rsidP="00AE7F96">
            <w:pPr>
              <w:spacing w:after="0"/>
              <w:rPr>
                <w:rFonts w:ascii="Georgia" w:hAnsi="Georgia" w:cs="Arial"/>
                <w:b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sz w:val="18"/>
                <w:szCs w:val="18"/>
              </w:rPr>
              <w:t>Education</w:t>
            </w:r>
          </w:p>
        </w:tc>
        <w:tc>
          <w:tcPr>
            <w:tcW w:w="1644" w:type="dxa"/>
          </w:tcPr>
          <w:p w14:paraId="27546FAB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6D4CC7A3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3593B439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7E75B9DB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05680DE2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3E94C61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823DE56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3D2137" w:rsidRPr="00962F8F" w14:paraId="4A2F398F" w14:textId="77777777" w:rsidTr="00AE7F96">
        <w:tc>
          <w:tcPr>
            <w:tcW w:w="2660" w:type="dxa"/>
            <w:shd w:val="clear" w:color="auto" w:fill="17365D" w:themeFill="text2" w:themeFillShade="BF"/>
          </w:tcPr>
          <w:p w14:paraId="6322D55B" w14:textId="77777777" w:rsidR="003D2137" w:rsidRPr="00962F8F" w:rsidRDefault="003D2137" w:rsidP="00AE7F96">
            <w:pPr>
              <w:spacing w:after="0"/>
              <w:rPr>
                <w:rFonts w:ascii="Georgia" w:hAnsi="Georgia" w:cs="Arial"/>
                <w:b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sz w:val="18"/>
                <w:szCs w:val="18"/>
              </w:rPr>
              <w:t>Food and Beverages</w:t>
            </w:r>
          </w:p>
        </w:tc>
        <w:tc>
          <w:tcPr>
            <w:tcW w:w="1644" w:type="dxa"/>
          </w:tcPr>
          <w:p w14:paraId="4A5FEE62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5D490CC7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567C0CB4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70002A22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515D44E6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022910C9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C75B1B4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3D2137" w:rsidRPr="00962F8F" w14:paraId="23A8A61C" w14:textId="77777777" w:rsidTr="00AE7F96">
        <w:tc>
          <w:tcPr>
            <w:tcW w:w="2660" w:type="dxa"/>
            <w:shd w:val="clear" w:color="auto" w:fill="17365D" w:themeFill="text2" w:themeFillShade="BF"/>
          </w:tcPr>
          <w:p w14:paraId="10BFF466" w14:textId="77777777" w:rsidR="003D2137" w:rsidRPr="00962F8F" w:rsidRDefault="003D2137" w:rsidP="00AE7F96">
            <w:pPr>
              <w:spacing w:after="0"/>
              <w:rPr>
                <w:rFonts w:ascii="Georgia" w:hAnsi="Georgia" w:cs="Arial"/>
                <w:b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sz w:val="18"/>
                <w:szCs w:val="18"/>
              </w:rPr>
              <w:t xml:space="preserve">Forestry </w:t>
            </w:r>
          </w:p>
        </w:tc>
        <w:tc>
          <w:tcPr>
            <w:tcW w:w="1644" w:type="dxa"/>
          </w:tcPr>
          <w:p w14:paraId="2F0FB18A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081AD5BA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0885E4D7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13A8BC4A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4B4C0E7E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3FD4C6AC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60D69896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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</w:tr>
      <w:tr w:rsidR="003D2137" w:rsidRPr="00962F8F" w14:paraId="0E7F15CD" w14:textId="77777777" w:rsidTr="00AE7F96">
        <w:tc>
          <w:tcPr>
            <w:tcW w:w="2660" w:type="dxa"/>
            <w:shd w:val="clear" w:color="auto" w:fill="17365D" w:themeFill="text2" w:themeFillShade="BF"/>
          </w:tcPr>
          <w:p w14:paraId="17F93E11" w14:textId="77777777" w:rsidR="003D2137" w:rsidRPr="00962F8F" w:rsidRDefault="003D2137" w:rsidP="00AE7F96">
            <w:pPr>
              <w:spacing w:after="0"/>
              <w:rPr>
                <w:rFonts w:ascii="Georgia" w:hAnsi="Georgia" w:cs="Arial"/>
                <w:b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sz w:val="18"/>
                <w:szCs w:val="18"/>
              </w:rPr>
              <w:t>Healthcare</w:t>
            </w:r>
          </w:p>
        </w:tc>
        <w:tc>
          <w:tcPr>
            <w:tcW w:w="1644" w:type="dxa"/>
          </w:tcPr>
          <w:p w14:paraId="4FCEC700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943634" w:themeColor="accen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4AB52703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22A67A07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67A43382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215901AF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EA248EC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2D48855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3D2137" w:rsidRPr="00962F8F" w14:paraId="4A5BBFD0" w14:textId="77777777" w:rsidTr="00AE7F96">
        <w:tc>
          <w:tcPr>
            <w:tcW w:w="2660" w:type="dxa"/>
            <w:shd w:val="clear" w:color="auto" w:fill="17365D" w:themeFill="text2" w:themeFillShade="BF"/>
          </w:tcPr>
          <w:p w14:paraId="3C7402AF" w14:textId="77777777" w:rsidR="003D2137" w:rsidRPr="00962F8F" w:rsidRDefault="003D2137" w:rsidP="00AE7F96">
            <w:pPr>
              <w:spacing w:after="0"/>
              <w:rPr>
                <w:rFonts w:ascii="Georgia" w:hAnsi="Georgia" w:cs="Arial"/>
                <w:b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sz w:val="18"/>
                <w:szCs w:val="18"/>
              </w:rPr>
              <w:t>Hospitality</w:t>
            </w:r>
          </w:p>
        </w:tc>
        <w:tc>
          <w:tcPr>
            <w:tcW w:w="1644" w:type="dxa"/>
          </w:tcPr>
          <w:p w14:paraId="4997C9AB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943634" w:themeColor="accen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5F2073A5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7B016890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00156489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4FBE97F0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5DD7A68F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51D914B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</w:tr>
      <w:tr w:rsidR="003D2137" w:rsidRPr="00962F8F" w14:paraId="60DE7C30" w14:textId="77777777" w:rsidTr="00AE7F96">
        <w:tc>
          <w:tcPr>
            <w:tcW w:w="2660" w:type="dxa"/>
            <w:shd w:val="clear" w:color="auto" w:fill="17365D" w:themeFill="text2" w:themeFillShade="BF"/>
          </w:tcPr>
          <w:p w14:paraId="3CDA7909" w14:textId="77777777" w:rsidR="003D2137" w:rsidRPr="00962F8F" w:rsidRDefault="003D2137" w:rsidP="00AE7F96">
            <w:pPr>
              <w:spacing w:after="0"/>
              <w:rPr>
                <w:rFonts w:ascii="Georgia" w:hAnsi="Georgia" w:cs="Arial"/>
                <w:b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sz w:val="18"/>
                <w:szCs w:val="18"/>
              </w:rPr>
              <w:t>Infrastructure</w:t>
            </w:r>
          </w:p>
        </w:tc>
        <w:tc>
          <w:tcPr>
            <w:tcW w:w="1644" w:type="dxa"/>
          </w:tcPr>
          <w:p w14:paraId="24622C62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654D6478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65144AA0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567FBFB4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7DEA4596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1F7C8C99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082A7BDD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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</w:tr>
      <w:tr w:rsidR="003D2137" w:rsidRPr="00962F8F" w14:paraId="117842E5" w14:textId="77777777" w:rsidTr="00AE7F96">
        <w:tc>
          <w:tcPr>
            <w:tcW w:w="2660" w:type="dxa"/>
            <w:shd w:val="clear" w:color="auto" w:fill="17365D" w:themeFill="text2" w:themeFillShade="BF"/>
          </w:tcPr>
          <w:p w14:paraId="524F3266" w14:textId="77777777" w:rsidR="003D2137" w:rsidRPr="00962F8F" w:rsidRDefault="003D2137" w:rsidP="00AE7F96">
            <w:pPr>
              <w:spacing w:after="0"/>
              <w:rPr>
                <w:rFonts w:ascii="Georgia" w:hAnsi="Georgia" w:cs="Arial"/>
                <w:b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sz w:val="18"/>
                <w:szCs w:val="18"/>
              </w:rPr>
              <w:t>Manufacturing</w:t>
            </w:r>
          </w:p>
        </w:tc>
        <w:tc>
          <w:tcPr>
            <w:tcW w:w="1644" w:type="dxa"/>
          </w:tcPr>
          <w:p w14:paraId="434D61A6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0AA7FB0B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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69569163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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39146C3D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5F8941DD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2FB0B618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9468565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3D2137" w:rsidRPr="00962F8F" w14:paraId="71180577" w14:textId="77777777" w:rsidTr="00AE7F96">
        <w:tc>
          <w:tcPr>
            <w:tcW w:w="2660" w:type="dxa"/>
            <w:shd w:val="clear" w:color="auto" w:fill="17365D" w:themeFill="text2" w:themeFillShade="BF"/>
          </w:tcPr>
          <w:p w14:paraId="4DAAFE71" w14:textId="77777777" w:rsidR="003D2137" w:rsidRPr="00962F8F" w:rsidRDefault="003D2137" w:rsidP="00AE7F96">
            <w:pPr>
              <w:spacing w:after="0"/>
              <w:rPr>
                <w:rFonts w:ascii="Georgia" w:hAnsi="Georgia" w:cs="Arial"/>
                <w:b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sz w:val="18"/>
                <w:szCs w:val="18"/>
              </w:rPr>
              <w:t>Mining</w:t>
            </w:r>
          </w:p>
        </w:tc>
        <w:tc>
          <w:tcPr>
            <w:tcW w:w="1644" w:type="dxa"/>
          </w:tcPr>
          <w:p w14:paraId="33F0182F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1CDC8277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5285DC55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74627F32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01B68499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5209968E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54E1AF89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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</w:tr>
      <w:tr w:rsidR="003D2137" w:rsidRPr="00962F8F" w14:paraId="22FFC8BE" w14:textId="77777777" w:rsidTr="00AE7F96">
        <w:tc>
          <w:tcPr>
            <w:tcW w:w="2660" w:type="dxa"/>
            <w:shd w:val="clear" w:color="auto" w:fill="17365D" w:themeFill="text2" w:themeFillShade="BF"/>
          </w:tcPr>
          <w:p w14:paraId="4196993F" w14:textId="77777777" w:rsidR="003D2137" w:rsidRPr="00962F8F" w:rsidRDefault="003D2137" w:rsidP="00BC2550">
            <w:pPr>
              <w:spacing w:after="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sz w:val="18"/>
                <w:szCs w:val="18"/>
              </w:rPr>
              <w:t>Oil and Gas</w:t>
            </w:r>
          </w:p>
        </w:tc>
        <w:tc>
          <w:tcPr>
            <w:tcW w:w="1644" w:type="dxa"/>
          </w:tcPr>
          <w:p w14:paraId="4981D8D5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15684025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5B7179F8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2B611794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46D2659A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1090A0D0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1775F334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</w:t>
            </w: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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  <w:r w:rsidRPr="00962F8F">
              <w:rPr>
                <w:rFonts w:ascii="Georgia" w:hAnsi="Georgia"/>
                <w:color w:val="FF0000"/>
                <w:sz w:val="24"/>
                <w:szCs w:val="24"/>
              </w:rPr>
              <w:sym w:font="Symbol" w:char="F0B7"/>
            </w:r>
          </w:p>
        </w:tc>
      </w:tr>
      <w:tr w:rsidR="003D2137" w:rsidRPr="00962F8F" w14:paraId="5BECABD7" w14:textId="77777777" w:rsidTr="00AE7F96">
        <w:tc>
          <w:tcPr>
            <w:tcW w:w="2660" w:type="dxa"/>
            <w:shd w:val="clear" w:color="auto" w:fill="17365D" w:themeFill="text2" w:themeFillShade="BF"/>
          </w:tcPr>
          <w:p w14:paraId="49C4D300" w14:textId="77777777" w:rsidR="003D2137" w:rsidRPr="00962F8F" w:rsidRDefault="003D2137" w:rsidP="00BC2550">
            <w:pPr>
              <w:spacing w:after="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sz w:val="18"/>
                <w:szCs w:val="18"/>
              </w:rPr>
              <w:t>Pharmaceuticals</w:t>
            </w:r>
          </w:p>
        </w:tc>
        <w:tc>
          <w:tcPr>
            <w:tcW w:w="1644" w:type="dxa"/>
          </w:tcPr>
          <w:p w14:paraId="1EDF86C3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943634" w:themeColor="accen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00419F91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70931E0B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56F477D1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7BA583D5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7BF8CB3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A856E7E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3D2137" w:rsidRPr="00962F8F" w14:paraId="1D88C5BB" w14:textId="77777777" w:rsidTr="00AE7F96">
        <w:tc>
          <w:tcPr>
            <w:tcW w:w="2660" w:type="dxa"/>
            <w:shd w:val="clear" w:color="auto" w:fill="17365D" w:themeFill="text2" w:themeFillShade="BF"/>
          </w:tcPr>
          <w:p w14:paraId="21894FAB" w14:textId="77777777" w:rsidR="003D2137" w:rsidRPr="00962F8F" w:rsidRDefault="003D2137" w:rsidP="00BC2550">
            <w:pPr>
              <w:spacing w:after="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sz w:val="18"/>
                <w:szCs w:val="18"/>
              </w:rPr>
              <w:t>Retail</w:t>
            </w:r>
          </w:p>
        </w:tc>
        <w:tc>
          <w:tcPr>
            <w:tcW w:w="1644" w:type="dxa"/>
          </w:tcPr>
          <w:p w14:paraId="2BC21090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4F023C0E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23C6B377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18DF8F8F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539324AF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EF32F35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266D1BA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3D2137" w:rsidRPr="00962F8F" w14:paraId="1FCCCCAB" w14:textId="77777777" w:rsidTr="00AE7F96">
        <w:tc>
          <w:tcPr>
            <w:tcW w:w="2660" w:type="dxa"/>
            <w:shd w:val="clear" w:color="auto" w:fill="17365D" w:themeFill="text2" w:themeFillShade="BF"/>
          </w:tcPr>
          <w:p w14:paraId="231665C3" w14:textId="77777777" w:rsidR="003D2137" w:rsidRPr="00962F8F" w:rsidRDefault="003D2137" w:rsidP="00BC2550">
            <w:pPr>
              <w:spacing w:after="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962F8F">
              <w:rPr>
                <w:rFonts w:ascii="Georgia" w:hAnsi="Georgia" w:cs="Arial"/>
                <w:b/>
                <w:sz w:val="18"/>
                <w:szCs w:val="18"/>
              </w:rPr>
              <w:t>Telecoms</w:t>
            </w:r>
          </w:p>
        </w:tc>
        <w:tc>
          <w:tcPr>
            <w:tcW w:w="1644" w:type="dxa"/>
          </w:tcPr>
          <w:p w14:paraId="2D4AA09D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943634" w:themeColor="accen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23007869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641811A9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  <w:r w:rsidRPr="00962F8F">
              <w:rPr>
                <w:rFonts w:ascii="Segoe UI Symbol" w:eastAsia="MS Gothic" w:hAnsi="Segoe UI Symbol" w:cs="Segoe UI Symbol"/>
                <w:color w:val="17365D" w:themeColor="text2" w:themeShade="BF"/>
                <w:sz w:val="24"/>
                <w:szCs w:val="24"/>
              </w:rPr>
              <w:t>★</w:t>
            </w:r>
          </w:p>
        </w:tc>
        <w:tc>
          <w:tcPr>
            <w:tcW w:w="1645" w:type="dxa"/>
          </w:tcPr>
          <w:p w14:paraId="0A6A5F1C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2DCF5910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69894E1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  <w:r w:rsidRPr="00962F8F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sym w:font="Symbol" w:char="F0B7"/>
            </w:r>
          </w:p>
        </w:tc>
        <w:tc>
          <w:tcPr>
            <w:tcW w:w="1645" w:type="dxa"/>
          </w:tcPr>
          <w:p w14:paraId="26943BF4" w14:textId="77777777" w:rsidR="003D2137" w:rsidRPr="00962F8F" w:rsidRDefault="003D2137" w:rsidP="00BC2550">
            <w:pPr>
              <w:spacing w:after="0" w:line="240" w:lineRule="auto"/>
              <w:jc w:val="center"/>
              <w:rPr>
                <w:rFonts w:ascii="Georgia" w:hAnsi="Georgia" w:cs="Arial"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5D71869C" w14:textId="77777777" w:rsidR="004437CD" w:rsidRPr="00962F8F" w:rsidRDefault="004437CD" w:rsidP="00BD58A6">
      <w:pPr>
        <w:tabs>
          <w:tab w:val="left" w:pos="5970"/>
        </w:tabs>
        <w:spacing w:after="200" w:line="276" w:lineRule="auto"/>
        <w:rPr>
          <w:rFonts w:ascii="Georgia" w:hAnsi="Georgia" w:cs="Arial"/>
          <w:sz w:val="18"/>
          <w:szCs w:val="18"/>
        </w:rPr>
      </w:pPr>
    </w:p>
    <w:sectPr w:rsidR="004437CD" w:rsidRPr="00962F8F" w:rsidSect="00A17B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1CE22" w14:textId="77777777" w:rsidR="003410CF" w:rsidRDefault="003410CF" w:rsidP="003D7AB9">
      <w:pPr>
        <w:spacing w:after="0" w:line="240" w:lineRule="auto"/>
      </w:pPr>
      <w:r>
        <w:separator/>
      </w:r>
    </w:p>
  </w:endnote>
  <w:endnote w:type="continuationSeparator" w:id="0">
    <w:p w14:paraId="6EE2E132" w14:textId="77777777" w:rsidR="003410CF" w:rsidRDefault="003410CF" w:rsidP="003D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68123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62E2A60" w14:textId="0289B76D" w:rsidR="007760DB" w:rsidRPr="00DB7933" w:rsidRDefault="007760DB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DB7933">
          <w:rPr>
            <w:rFonts w:ascii="Arial" w:hAnsi="Arial" w:cs="Arial"/>
            <w:sz w:val="20"/>
            <w:szCs w:val="20"/>
          </w:rPr>
          <w:fldChar w:fldCharType="begin"/>
        </w:r>
        <w:r w:rsidRPr="00DB793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7933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DB793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288BA" w14:textId="77777777" w:rsidR="003410CF" w:rsidRDefault="003410CF" w:rsidP="003D7AB9">
      <w:pPr>
        <w:spacing w:after="0" w:line="240" w:lineRule="auto"/>
      </w:pPr>
      <w:r>
        <w:separator/>
      </w:r>
    </w:p>
  </w:footnote>
  <w:footnote w:type="continuationSeparator" w:id="0">
    <w:p w14:paraId="235A8471" w14:textId="77777777" w:rsidR="003410CF" w:rsidRDefault="003410CF" w:rsidP="003D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CA84E" w14:textId="24B19484" w:rsidR="007760DB" w:rsidRPr="00FB759E" w:rsidRDefault="007760DB">
    <w:pPr>
      <w:pStyle w:val="Header"/>
      <w:rPr>
        <w:rFonts w:ascii="Arial" w:hAnsi="Arial" w:cs="Arial"/>
        <w:sz w:val="20"/>
        <w:szCs w:val="20"/>
      </w:rPr>
    </w:pPr>
    <w:r w:rsidRPr="00FB759E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0C4DE7A" wp14:editId="74796ACB">
          <wp:simplePos x="0" y="0"/>
          <wp:positionH relativeFrom="margin">
            <wp:posOffset>8100695</wp:posOffset>
          </wp:positionH>
          <wp:positionV relativeFrom="margin">
            <wp:posOffset>-736600</wp:posOffset>
          </wp:positionV>
          <wp:extent cx="676275" cy="2679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black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26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2354">
      <w:rPr>
        <w:rFonts w:ascii="Arial" w:hAnsi="Arial" w:cs="Arial"/>
        <w:sz w:val="20"/>
        <w:szCs w:val="20"/>
      </w:rPr>
      <w:t xml:space="preserve">FI </w:t>
    </w:r>
    <w:r w:rsidRPr="00FB759E">
      <w:rPr>
        <w:rFonts w:ascii="Arial" w:hAnsi="Arial" w:cs="Arial"/>
        <w:sz w:val="20"/>
        <w:szCs w:val="20"/>
      </w:rPr>
      <w:t xml:space="preserve">ENVIRONMENTAL AND SOCIAL </w:t>
    </w:r>
    <w:r w:rsidR="00542354" w:rsidRPr="00542354">
      <w:rPr>
        <w:rFonts w:ascii="Arial" w:hAnsi="Arial" w:cs="Arial"/>
        <w:sz w:val="20"/>
        <w:szCs w:val="20"/>
      </w:rPr>
      <w:t xml:space="preserve">TRANSACTION </w:t>
    </w:r>
    <w:r w:rsidR="00542354">
      <w:rPr>
        <w:rFonts w:ascii="Arial" w:hAnsi="Arial" w:cs="Arial"/>
        <w:sz w:val="20"/>
        <w:szCs w:val="20"/>
      </w:rPr>
      <w:t xml:space="preserve">SCREENING </w:t>
    </w:r>
    <w:r w:rsidRPr="00FB759E">
      <w:rPr>
        <w:rFonts w:ascii="Arial" w:hAnsi="Arial" w:cs="Arial"/>
        <w:sz w:val="20"/>
        <w:szCs w:val="20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9B0"/>
    <w:multiLevelType w:val="hybridMultilevel"/>
    <w:tmpl w:val="984A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CF0"/>
    <w:multiLevelType w:val="hybridMultilevel"/>
    <w:tmpl w:val="CD641C96"/>
    <w:lvl w:ilvl="0" w:tplc="6D84EE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09B4"/>
    <w:multiLevelType w:val="hybridMultilevel"/>
    <w:tmpl w:val="F78A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02DD"/>
    <w:multiLevelType w:val="hybridMultilevel"/>
    <w:tmpl w:val="2740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2CF0"/>
    <w:multiLevelType w:val="hybridMultilevel"/>
    <w:tmpl w:val="05C81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164DE"/>
    <w:multiLevelType w:val="hybridMultilevel"/>
    <w:tmpl w:val="EBE2C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51874"/>
    <w:multiLevelType w:val="hybridMultilevel"/>
    <w:tmpl w:val="A6080FDE"/>
    <w:lvl w:ilvl="0" w:tplc="1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40257FED"/>
    <w:multiLevelType w:val="hybridMultilevel"/>
    <w:tmpl w:val="0AE42888"/>
    <w:lvl w:ilvl="0" w:tplc="2CB6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E3C38"/>
    <w:multiLevelType w:val="hybridMultilevel"/>
    <w:tmpl w:val="FFB8C416"/>
    <w:lvl w:ilvl="0" w:tplc="6D84EE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A1133"/>
    <w:multiLevelType w:val="hybridMultilevel"/>
    <w:tmpl w:val="FDFC3E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4FE5A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12478"/>
    <w:multiLevelType w:val="hybridMultilevel"/>
    <w:tmpl w:val="9E801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A03EEA"/>
    <w:multiLevelType w:val="hybridMultilevel"/>
    <w:tmpl w:val="C4AA2576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6AB32869"/>
    <w:multiLevelType w:val="hybridMultilevel"/>
    <w:tmpl w:val="6FA4678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33CC9AB4">
      <w:numFmt w:val="bullet"/>
      <w:lvlText w:val="•"/>
      <w:lvlJc w:val="left"/>
      <w:pPr>
        <w:ind w:left="1976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74D975B4"/>
    <w:multiLevelType w:val="hybridMultilevel"/>
    <w:tmpl w:val="A7D8929C"/>
    <w:lvl w:ilvl="0" w:tplc="6D84EE6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AB6EB9"/>
    <w:multiLevelType w:val="hybridMultilevel"/>
    <w:tmpl w:val="2DF20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14"/>
  </w:num>
  <w:num w:numId="6">
    <w:abstractNumId w:val="13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  <w:num w:numId="1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yMDE3NTI1MTSwNDNX0lEKTi0uzszPAykwqwUANkh12SwAAAA="/>
  </w:docVars>
  <w:rsids>
    <w:rsidRoot w:val="00A17B05"/>
    <w:rsid w:val="00000D65"/>
    <w:rsid w:val="00004868"/>
    <w:rsid w:val="00004D18"/>
    <w:rsid w:val="0000548E"/>
    <w:rsid w:val="00007EC0"/>
    <w:rsid w:val="0001105E"/>
    <w:rsid w:val="000127BD"/>
    <w:rsid w:val="00015F04"/>
    <w:rsid w:val="00016F01"/>
    <w:rsid w:val="00021918"/>
    <w:rsid w:val="0003488C"/>
    <w:rsid w:val="000350E0"/>
    <w:rsid w:val="000374F4"/>
    <w:rsid w:val="000379BE"/>
    <w:rsid w:val="000435B0"/>
    <w:rsid w:val="00057BA2"/>
    <w:rsid w:val="00060B14"/>
    <w:rsid w:val="0006299A"/>
    <w:rsid w:val="000636E9"/>
    <w:rsid w:val="00065225"/>
    <w:rsid w:val="000656F9"/>
    <w:rsid w:val="00065E43"/>
    <w:rsid w:val="000726C0"/>
    <w:rsid w:val="000749AE"/>
    <w:rsid w:val="000773E2"/>
    <w:rsid w:val="00080209"/>
    <w:rsid w:val="0008091F"/>
    <w:rsid w:val="00081ABE"/>
    <w:rsid w:val="000848DE"/>
    <w:rsid w:val="0008703B"/>
    <w:rsid w:val="00090CC0"/>
    <w:rsid w:val="00092C05"/>
    <w:rsid w:val="000947EC"/>
    <w:rsid w:val="00095070"/>
    <w:rsid w:val="000975E5"/>
    <w:rsid w:val="000A193A"/>
    <w:rsid w:val="000A1C81"/>
    <w:rsid w:val="000A453D"/>
    <w:rsid w:val="000B5951"/>
    <w:rsid w:val="000C027A"/>
    <w:rsid w:val="000C13F7"/>
    <w:rsid w:val="000D1B4E"/>
    <w:rsid w:val="000D1B6F"/>
    <w:rsid w:val="000D53D4"/>
    <w:rsid w:val="000E2663"/>
    <w:rsid w:val="000E42C7"/>
    <w:rsid w:val="000E7BE3"/>
    <w:rsid w:val="000F3519"/>
    <w:rsid w:val="000F4838"/>
    <w:rsid w:val="000F7EE5"/>
    <w:rsid w:val="001042E6"/>
    <w:rsid w:val="001063BC"/>
    <w:rsid w:val="00107150"/>
    <w:rsid w:val="00112021"/>
    <w:rsid w:val="00114EFB"/>
    <w:rsid w:val="00126F5B"/>
    <w:rsid w:val="00130B46"/>
    <w:rsid w:val="00132612"/>
    <w:rsid w:val="00132DB2"/>
    <w:rsid w:val="00136769"/>
    <w:rsid w:val="0014099B"/>
    <w:rsid w:val="00141CEC"/>
    <w:rsid w:val="00144E49"/>
    <w:rsid w:val="00146959"/>
    <w:rsid w:val="00146E3F"/>
    <w:rsid w:val="0014727B"/>
    <w:rsid w:val="001501A5"/>
    <w:rsid w:val="00153C88"/>
    <w:rsid w:val="00154739"/>
    <w:rsid w:val="00154D7D"/>
    <w:rsid w:val="00155023"/>
    <w:rsid w:val="00157319"/>
    <w:rsid w:val="00167402"/>
    <w:rsid w:val="00167F3B"/>
    <w:rsid w:val="00172C97"/>
    <w:rsid w:val="00172E38"/>
    <w:rsid w:val="00177710"/>
    <w:rsid w:val="00183A60"/>
    <w:rsid w:val="00192781"/>
    <w:rsid w:val="0019485B"/>
    <w:rsid w:val="001A0539"/>
    <w:rsid w:val="001A241D"/>
    <w:rsid w:val="001A41FB"/>
    <w:rsid w:val="001B15AE"/>
    <w:rsid w:val="001B5708"/>
    <w:rsid w:val="001B5B88"/>
    <w:rsid w:val="001C32B7"/>
    <w:rsid w:val="001C3740"/>
    <w:rsid w:val="001C58CD"/>
    <w:rsid w:val="001C595E"/>
    <w:rsid w:val="001C5C64"/>
    <w:rsid w:val="001D058F"/>
    <w:rsid w:val="001D126E"/>
    <w:rsid w:val="001D164A"/>
    <w:rsid w:val="001D471E"/>
    <w:rsid w:val="001D64C4"/>
    <w:rsid w:val="001E137E"/>
    <w:rsid w:val="001E162C"/>
    <w:rsid w:val="001E217A"/>
    <w:rsid w:val="001E6990"/>
    <w:rsid w:val="001F138D"/>
    <w:rsid w:val="001F6231"/>
    <w:rsid w:val="001F6E0D"/>
    <w:rsid w:val="002013C9"/>
    <w:rsid w:val="00204488"/>
    <w:rsid w:val="00204BCE"/>
    <w:rsid w:val="002067F5"/>
    <w:rsid w:val="00211531"/>
    <w:rsid w:val="00212F2D"/>
    <w:rsid w:val="002161C1"/>
    <w:rsid w:val="00223470"/>
    <w:rsid w:val="002237F0"/>
    <w:rsid w:val="002252C4"/>
    <w:rsid w:val="00225A1A"/>
    <w:rsid w:val="00233870"/>
    <w:rsid w:val="00241645"/>
    <w:rsid w:val="00242B95"/>
    <w:rsid w:val="00243E2D"/>
    <w:rsid w:val="0024557C"/>
    <w:rsid w:val="0025573A"/>
    <w:rsid w:val="002569FB"/>
    <w:rsid w:val="00256A1F"/>
    <w:rsid w:val="00265F44"/>
    <w:rsid w:val="00283993"/>
    <w:rsid w:val="0029373C"/>
    <w:rsid w:val="002A05AE"/>
    <w:rsid w:val="002A1786"/>
    <w:rsid w:val="002B7544"/>
    <w:rsid w:val="002C11B0"/>
    <w:rsid w:val="002C3328"/>
    <w:rsid w:val="002C6420"/>
    <w:rsid w:val="002D0725"/>
    <w:rsid w:val="002D6878"/>
    <w:rsid w:val="002D7DA9"/>
    <w:rsid w:val="002D7E6D"/>
    <w:rsid w:val="002E0EE1"/>
    <w:rsid w:val="002E143E"/>
    <w:rsid w:val="002E1C1D"/>
    <w:rsid w:val="002E3111"/>
    <w:rsid w:val="002E311E"/>
    <w:rsid w:val="002E44B7"/>
    <w:rsid w:val="002E60F7"/>
    <w:rsid w:val="002E643F"/>
    <w:rsid w:val="002F0649"/>
    <w:rsid w:val="002F15A6"/>
    <w:rsid w:val="002F186E"/>
    <w:rsid w:val="002F356E"/>
    <w:rsid w:val="002F7135"/>
    <w:rsid w:val="0030067B"/>
    <w:rsid w:val="00305058"/>
    <w:rsid w:val="003103DB"/>
    <w:rsid w:val="00310BC4"/>
    <w:rsid w:val="00311637"/>
    <w:rsid w:val="003207D1"/>
    <w:rsid w:val="003228BC"/>
    <w:rsid w:val="00327EC1"/>
    <w:rsid w:val="00331548"/>
    <w:rsid w:val="00337329"/>
    <w:rsid w:val="003410CF"/>
    <w:rsid w:val="003439CE"/>
    <w:rsid w:val="003457EE"/>
    <w:rsid w:val="00347C63"/>
    <w:rsid w:val="00350B95"/>
    <w:rsid w:val="00356D97"/>
    <w:rsid w:val="0035771A"/>
    <w:rsid w:val="00365457"/>
    <w:rsid w:val="00365CF5"/>
    <w:rsid w:val="003705ED"/>
    <w:rsid w:val="00374524"/>
    <w:rsid w:val="003753F4"/>
    <w:rsid w:val="003771AC"/>
    <w:rsid w:val="003774AE"/>
    <w:rsid w:val="00380D59"/>
    <w:rsid w:val="003815D2"/>
    <w:rsid w:val="00392035"/>
    <w:rsid w:val="003920DE"/>
    <w:rsid w:val="0039468D"/>
    <w:rsid w:val="00394857"/>
    <w:rsid w:val="00394FD4"/>
    <w:rsid w:val="003A19D1"/>
    <w:rsid w:val="003A3EEC"/>
    <w:rsid w:val="003A4E67"/>
    <w:rsid w:val="003B0169"/>
    <w:rsid w:val="003B79A2"/>
    <w:rsid w:val="003C3458"/>
    <w:rsid w:val="003C43D9"/>
    <w:rsid w:val="003D096E"/>
    <w:rsid w:val="003D0C0D"/>
    <w:rsid w:val="003D1E84"/>
    <w:rsid w:val="003D2137"/>
    <w:rsid w:val="003D3047"/>
    <w:rsid w:val="003D3D71"/>
    <w:rsid w:val="003D588E"/>
    <w:rsid w:val="003D5D9B"/>
    <w:rsid w:val="003D6977"/>
    <w:rsid w:val="003D7910"/>
    <w:rsid w:val="003D7AB9"/>
    <w:rsid w:val="003E17D6"/>
    <w:rsid w:val="003E33CB"/>
    <w:rsid w:val="003E3A02"/>
    <w:rsid w:val="003E3A68"/>
    <w:rsid w:val="003E670F"/>
    <w:rsid w:val="003F071C"/>
    <w:rsid w:val="003F1B08"/>
    <w:rsid w:val="003F4309"/>
    <w:rsid w:val="00401151"/>
    <w:rsid w:val="0040157B"/>
    <w:rsid w:val="0040445F"/>
    <w:rsid w:val="00410494"/>
    <w:rsid w:val="004131E5"/>
    <w:rsid w:val="00416119"/>
    <w:rsid w:val="00416B9E"/>
    <w:rsid w:val="0041768D"/>
    <w:rsid w:val="00417EA1"/>
    <w:rsid w:val="00420B8D"/>
    <w:rsid w:val="00424F9B"/>
    <w:rsid w:val="004255BD"/>
    <w:rsid w:val="00431D0C"/>
    <w:rsid w:val="0043560F"/>
    <w:rsid w:val="00437A0E"/>
    <w:rsid w:val="00437E33"/>
    <w:rsid w:val="004437CD"/>
    <w:rsid w:val="00445526"/>
    <w:rsid w:val="0046006C"/>
    <w:rsid w:val="00460437"/>
    <w:rsid w:val="004629EC"/>
    <w:rsid w:val="0047305F"/>
    <w:rsid w:val="004738E5"/>
    <w:rsid w:val="004765B8"/>
    <w:rsid w:val="00480EFB"/>
    <w:rsid w:val="00486665"/>
    <w:rsid w:val="004875D3"/>
    <w:rsid w:val="00490D99"/>
    <w:rsid w:val="00491204"/>
    <w:rsid w:val="00493D06"/>
    <w:rsid w:val="00494888"/>
    <w:rsid w:val="004A24AC"/>
    <w:rsid w:val="004A2E5D"/>
    <w:rsid w:val="004A3EEC"/>
    <w:rsid w:val="004A70C9"/>
    <w:rsid w:val="004B3829"/>
    <w:rsid w:val="004B3C95"/>
    <w:rsid w:val="004B511B"/>
    <w:rsid w:val="004C5DA9"/>
    <w:rsid w:val="004C6470"/>
    <w:rsid w:val="004C663B"/>
    <w:rsid w:val="004C7B7D"/>
    <w:rsid w:val="004D44EA"/>
    <w:rsid w:val="004E2CE9"/>
    <w:rsid w:val="004E7702"/>
    <w:rsid w:val="004E7C5F"/>
    <w:rsid w:val="004F1F4E"/>
    <w:rsid w:val="004F32AC"/>
    <w:rsid w:val="0050415F"/>
    <w:rsid w:val="005069D7"/>
    <w:rsid w:val="00507293"/>
    <w:rsid w:val="005073A8"/>
    <w:rsid w:val="00510407"/>
    <w:rsid w:val="00512BC9"/>
    <w:rsid w:val="00514984"/>
    <w:rsid w:val="0051546A"/>
    <w:rsid w:val="00515964"/>
    <w:rsid w:val="005230EB"/>
    <w:rsid w:val="00523AEF"/>
    <w:rsid w:val="00525A96"/>
    <w:rsid w:val="0052706D"/>
    <w:rsid w:val="00527926"/>
    <w:rsid w:val="00534133"/>
    <w:rsid w:val="005377D7"/>
    <w:rsid w:val="00537C52"/>
    <w:rsid w:val="00542354"/>
    <w:rsid w:val="00543D46"/>
    <w:rsid w:val="00547807"/>
    <w:rsid w:val="00553B16"/>
    <w:rsid w:val="00556BD2"/>
    <w:rsid w:val="005575B0"/>
    <w:rsid w:val="00565AF1"/>
    <w:rsid w:val="00570081"/>
    <w:rsid w:val="005709F2"/>
    <w:rsid w:val="00581524"/>
    <w:rsid w:val="00584DC5"/>
    <w:rsid w:val="00586382"/>
    <w:rsid w:val="005905CB"/>
    <w:rsid w:val="00592FF4"/>
    <w:rsid w:val="00594BFD"/>
    <w:rsid w:val="005A2000"/>
    <w:rsid w:val="005A660E"/>
    <w:rsid w:val="005A6677"/>
    <w:rsid w:val="005B5186"/>
    <w:rsid w:val="005B7F47"/>
    <w:rsid w:val="005C1BA2"/>
    <w:rsid w:val="005C3810"/>
    <w:rsid w:val="005C3953"/>
    <w:rsid w:val="005C6D03"/>
    <w:rsid w:val="005D066B"/>
    <w:rsid w:val="005D241E"/>
    <w:rsid w:val="005D39FF"/>
    <w:rsid w:val="005D5033"/>
    <w:rsid w:val="005D5904"/>
    <w:rsid w:val="005D5C45"/>
    <w:rsid w:val="005D619E"/>
    <w:rsid w:val="005D69A9"/>
    <w:rsid w:val="005E3D04"/>
    <w:rsid w:val="005E457B"/>
    <w:rsid w:val="005E48C6"/>
    <w:rsid w:val="005E54BB"/>
    <w:rsid w:val="005F0D36"/>
    <w:rsid w:val="005F22C6"/>
    <w:rsid w:val="005F3C16"/>
    <w:rsid w:val="005F6F06"/>
    <w:rsid w:val="005F7042"/>
    <w:rsid w:val="006029F1"/>
    <w:rsid w:val="0060355E"/>
    <w:rsid w:val="006053F7"/>
    <w:rsid w:val="0061063E"/>
    <w:rsid w:val="0061781F"/>
    <w:rsid w:val="006179EA"/>
    <w:rsid w:val="00627C4A"/>
    <w:rsid w:val="00635F76"/>
    <w:rsid w:val="00637886"/>
    <w:rsid w:val="006426FB"/>
    <w:rsid w:val="00646409"/>
    <w:rsid w:val="00646A0C"/>
    <w:rsid w:val="00647122"/>
    <w:rsid w:val="00647237"/>
    <w:rsid w:val="00647A26"/>
    <w:rsid w:val="006504E4"/>
    <w:rsid w:val="006541B3"/>
    <w:rsid w:val="00661029"/>
    <w:rsid w:val="00664B3A"/>
    <w:rsid w:val="00667AA1"/>
    <w:rsid w:val="00670368"/>
    <w:rsid w:val="00673D02"/>
    <w:rsid w:val="006762FC"/>
    <w:rsid w:val="0067683E"/>
    <w:rsid w:val="006770E3"/>
    <w:rsid w:val="00681B56"/>
    <w:rsid w:val="006839AE"/>
    <w:rsid w:val="00684601"/>
    <w:rsid w:val="006846FC"/>
    <w:rsid w:val="00692E9B"/>
    <w:rsid w:val="00696395"/>
    <w:rsid w:val="006A04D6"/>
    <w:rsid w:val="006A4A8A"/>
    <w:rsid w:val="006A591C"/>
    <w:rsid w:val="006B0677"/>
    <w:rsid w:val="006B207D"/>
    <w:rsid w:val="006B7ACD"/>
    <w:rsid w:val="006C1182"/>
    <w:rsid w:val="006C50FC"/>
    <w:rsid w:val="006C5824"/>
    <w:rsid w:val="006C7EA1"/>
    <w:rsid w:val="006D3D67"/>
    <w:rsid w:val="006D3FCF"/>
    <w:rsid w:val="006D498A"/>
    <w:rsid w:val="006D58A7"/>
    <w:rsid w:val="006D77BB"/>
    <w:rsid w:val="006D7A06"/>
    <w:rsid w:val="006D7DB5"/>
    <w:rsid w:val="006E0196"/>
    <w:rsid w:val="006E46FF"/>
    <w:rsid w:val="006E4DF4"/>
    <w:rsid w:val="006F6634"/>
    <w:rsid w:val="006F77F3"/>
    <w:rsid w:val="00702E60"/>
    <w:rsid w:val="0070558F"/>
    <w:rsid w:val="00706879"/>
    <w:rsid w:val="0070708B"/>
    <w:rsid w:val="0071331C"/>
    <w:rsid w:val="00717BDA"/>
    <w:rsid w:val="00721078"/>
    <w:rsid w:val="00727EC4"/>
    <w:rsid w:val="00733C8E"/>
    <w:rsid w:val="007349F3"/>
    <w:rsid w:val="00735FFA"/>
    <w:rsid w:val="0073610B"/>
    <w:rsid w:val="007411F0"/>
    <w:rsid w:val="00742801"/>
    <w:rsid w:val="00751937"/>
    <w:rsid w:val="007524C4"/>
    <w:rsid w:val="0075671D"/>
    <w:rsid w:val="00756E00"/>
    <w:rsid w:val="00760875"/>
    <w:rsid w:val="00763D28"/>
    <w:rsid w:val="00764213"/>
    <w:rsid w:val="007643A5"/>
    <w:rsid w:val="00772D7C"/>
    <w:rsid w:val="00772E6A"/>
    <w:rsid w:val="007760DB"/>
    <w:rsid w:val="00776755"/>
    <w:rsid w:val="00783D57"/>
    <w:rsid w:val="007B20A2"/>
    <w:rsid w:val="007B33BA"/>
    <w:rsid w:val="007C243D"/>
    <w:rsid w:val="007C3C2E"/>
    <w:rsid w:val="007C3E95"/>
    <w:rsid w:val="007C5FF9"/>
    <w:rsid w:val="007D1331"/>
    <w:rsid w:val="007D2660"/>
    <w:rsid w:val="007D2B5D"/>
    <w:rsid w:val="007D4625"/>
    <w:rsid w:val="007E012C"/>
    <w:rsid w:val="007E038D"/>
    <w:rsid w:val="007E1F59"/>
    <w:rsid w:val="007E27A0"/>
    <w:rsid w:val="007E46A2"/>
    <w:rsid w:val="007E5033"/>
    <w:rsid w:val="007E5153"/>
    <w:rsid w:val="007E5B91"/>
    <w:rsid w:val="007E5BB6"/>
    <w:rsid w:val="008007A8"/>
    <w:rsid w:val="00801BAE"/>
    <w:rsid w:val="0080235E"/>
    <w:rsid w:val="00805802"/>
    <w:rsid w:val="00805B59"/>
    <w:rsid w:val="00806786"/>
    <w:rsid w:val="00814B07"/>
    <w:rsid w:val="0081793D"/>
    <w:rsid w:val="00821A5C"/>
    <w:rsid w:val="008257FE"/>
    <w:rsid w:val="008264F1"/>
    <w:rsid w:val="00833374"/>
    <w:rsid w:val="008353A6"/>
    <w:rsid w:val="00836FFF"/>
    <w:rsid w:val="00842976"/>
    <w:rsid w:val="008459A1"/>
    <w:rsid w:val="00852577"/>
    <w:rsid w:val="008532C3"/>
    <w:rsid w:val="00853D97"/>
    <w:rsid w:val="00855D37"/>
    <w:rsid w:val="00860398"/>
    <w:rsid w:val="00860807"/>
    <w:rsid w:val="008632F1"/>
    <w:rsid w:val="00863DDD"/>
    <w:rsid w:val="008659B6"/>
    <w:rsid w:val="0086684B"/>
    <w:rsid w:val="00870756"/>
    <w:rsid w:val="00870B3C"/>
    <w:rsid w:val="00873216"/>
    <w:rsid w:val="008738A7"/>
    <w:rsid w:val="00873D0E"/>
    <w:rsid w:val="00875905"/>
    <w:rsid w:val="00876F74"/>
    <w:rsid w:val="00877C05"/>
    <w:rsid w:val="00881981"/>
    <w:rsid w:val="00881CF4"/>
    <w:rsid w:val="008822BC"/>
    <w:rsid w:val="00883603"/>
    <w:rsid w:val="00887C84"/>
    <w:rsid w:val="0089032A"/>
    <w:rsid w:val="00894DCE"/>
    <w:rsid w:val="008967CC"/>
    <w:rsid w:val="00896E1B"/>
    <w:rsid w:val="008A2384"/>
    <w:rsid w:val="008A67A2"/>
    <w:rsid w:val="008B08B5"/>
    <w:rsid w:val="008C1537"/>
    <w:rsid w:val="008E1B3D"/>
    <w:rsid w:val="008E1FBC"/>
    <w:rsid w:val="008E2339"/>
    <w:rsid w:val="008E6B6D"/>
    <w:rsid w:val="008E6F91"/>
    <w:rsid w:val="008F493B"/>
    <w:rsid w:val="008F6FDF"/>
    <w:rsid w:val="00900904"/>
    <w:rsid w:val="0090496C"/>
    <w:rsid w:val="00906070"/>
    <w:rsid w:val="00906D62"/>
    <w:rsid w:val="009162CD"/>
    <w:rsid w:val="00916BF5"/>
    <w:rsid w:val="00921652"/>
    <w:rsid w:val="00922F7E"/>
    <w:rsid w:val="00925ECC"/>
    <w:rsid w:val="0093023B"/>
    <w:rsid w:val="00930C67"/>
    <w:rsid w:val="00931A60"/>
    <w:rsid w:val="009329FB"/>
    <w:rsid w:val="00933D43"/>
    <w:rsid w:val="00935588"/>
    <w:rsid w:val="00936DEC"/>
    <w:rsid w:val="009504D1"/>
    <w:rsid w:val="00953E37"/>
    <w:rsid w:val="00956B4B"/>
    <w:rsid w:val="009579EC"/>
    <w:rsid w:val="00957DF8"/>
    <w:rsid w:val="00962580"/>
    <w:rsid w:val="00962F8F"/>
    <w:rsid w:val="00965C84"/>
    <w:rsid w:val="00971596"/>
    <w:rsid w:val="009750B1"/>
    <w:rsid w:val="00981F44"/>
    <w:rsid w:val="00982626"/>
    <w:rsid w:val="009872A6"/>
    <w:rsid w:val="00992F12"/>
    <w:rsid w:val="00997A24"/>
    <w:rsid w:val="009D0F05"/>
    <w:rsid w:val="009D7935"/>
    <w:rsid w:val="009E6627"/>
    <w:rsid w:val="009E789E"/>
    <w:rsid w:val="009F07DB"/>
    <w:rsid w:val="009F29D3"/>
    <w:rsid w:val="009F7A3B"/>
    <w:rsid w:val="009F7C8D"/>
    <w:rsid w:val="00A01D46"/>
    <w:rsid w:val="00A03F7F"/>
    <w:rsid w:val="00A05AE7"/>
    <w:rsid w:val="00A11B88"/>
    <w:rsid w:val="00A11D75"/>
    <w:rsid w:val="00A17B05"/>
    <w:rsid w:val="00A2127E"/>
    <w:rsid w:val="00A24B93"/>
    <w:rsid w:val="00A26EA9"/>
    <w:rsid w:val="00A271BA"/>
    <w:rsid w:val="00A30E86"/>
    <w:rsid w:val="00A31940"/>
    <w:rsid w:val="00A326F5"/>
    <w:rsid w:val="00A32E8B"/>
    <w:rsid w:val="00A337A8"/>
    <w:rsid w:val="00A35A76"/>
    <w:rsid w:val="00A35E51"/>
    <w:rsid w:val="00A42235"/>
    <w:rsid w:val="00A439A3"/>
    <w:rsid w:val="00A447D5"/>
    <w:rsid w:val="00A44CF6"/>
    <w:rsid w:val="00A47ABA"/>
    <w:rsid w:val="00A50FDC"/>
    <w:rsid w:val="00A5108E"/>
    <w:rsid w:val="00A5494B"/>
    <w:rsid w:val="00A64288"/>
    <w:rsid w:val="00A6613F"/>
    <w:rsid w:val="00A671BC"/>
    <w:rsid w:val="00A7098C"/>
    <w:rsid w:val="00A71888"/>
    <w:rsid w:val="00A728AC"/>
    <w:rsid w:val="00A72DD1"/>
    <w:rsid w:val="00A73769"/>
    <w:rsid w:val="00A84A2D"/>
    <w:rsid w:val="00A858D0"/>
    <w:rsid w:val="00A87AAA"/>
    <w:rsid w:val="00A9160C"/>
    <w:rsid w:val="00A91B07"/>
    <w:rsid w:val="00A93B70"/>
    <w:rsid w:val="00A943AB"/>
    <w:rsid w:val="00AA746B"/>
    <w:rsid w:val="00AB0F90"/>
    <w:rsid w:val="00AB3D9C"/>
    <w:rsid w:val="00AC69F6"/>
    <w:rsid w:val="00AD3E26"/>
    <w:rsid w:val="00AD7A57"/>
    <w:rsid w:val="00AD7C8F"/>
    <w:rsid w:val="00AE11B7"/>
    <w:rsid w:val="00AE1B52"/>
    <w:rsid w:val="00AE2561"/>
    <w:rsid w:val="00AE73FB"/>
    <w:rsid w:val="00AE7E5F"/>
    <w:rsid w:val="00AE7F96"/>
    <w:rsid w:val="00AF169E"/>
    <w:rsid w:val="00AF456F"/>
    <w:rsid w:val="00AF5B3E"/>
    <w:rsid w:val="00AF7E82"/>
    <w:rsid w:val="00B0004C"/>
    <w:rsid w:val="00B009B7"/>
    <w:rsid w:val="00B01F7A"/>
    <w:rsid w:val="00B02A2D"/>
    <w:rsid w:val="00B02B7F"/>
    <w:rsid w:val="00B02F34"/>
    <w:rsid w:val="00B04223"/>
    <w:rsid w:val="00B21777"/>
    <w:rsid w:val="00B2593F"/>
    <w:rsid w:val="00B30325"/>
    <w:rsid w:val="00B31663"/>
    <w:rsid w:val="00B33712"/>
    <w:rsid w:val="00B36E25"/>
    <w:rsid w:val="00B42B45"/>
    <w:rsid w:val="00B44AA6"/>
    <w:rsid w:val="00B477BA"/>
    <w:rsid w:val="00B5107F"/>
    <w:rsid w:val="00B52BCF"/>
    <w:rsid w:val="00B54682"/>
    <w:rsid w:val="00B558E6"/>
    <w:rsid w:val="00B56EE1"/>
    <w:rsid w:val="00B61D8B"/>
    <w:rsid w:val="00B81F6F"/>
    <w:rsid w:val="00B82C7C"/>
    <w:rsid w:val="00B87278"/>
    <w:rsid w:val="00B91BB4"/>
    <w:rsid w:val="00B97A9F"/>
    <w:rsid w:val="00BA0F68"/>
    <w:rsid w:val="00BA49F3"/>
    <w:rsid w:val="00BA63DF"/>
    <w:rsid w:val="00BA6AD4"/>
    <w:rsid w:val="00BB0A8C"/>
    <w:rsid w:val="00BB0CC6"/>
    <w:rsid w:val="00BB3949"/>
    <w:rsid w:val="00BC205C"/>
    <w:rsid w:val="00BC2550"/>
    <w:rsid w:val="00BC4EA0"/>
    <w:rsid w:val="00BD3260"/>
    <w:rsid w:val="00BD58A6"/>
    <w:rsid w:val="00BE1492"/>
    <w:rsid w:val="00BF532C"/>
    <w:rsid w:val="00BF6835"/>
    <w:rsid w:val="00C00B1A"/>
    <w:rsid w:val="00C01D5C"/>
    <w:rsid w:val="00C03355"/>
    <w:rsid w:val="00C05185"/>
    <w:rsid w:val="00C16C4E"/>
    <w:rsid w:val="00C21BDA"/>
    <w:rsid w:val="00C24C3A"/>
    <w:rsid w:val="00C26DD0"/>
    <w:rsid w:val="00C307A7"/>
    <w:rsid w:val="00C30BEC"/>
    <w:rsid w:val="00C30D95"/>
    <w:rsid w:val="00C32B95"/>
    <w:rsid w:val="00C33C0E"/>
    <w:rsid w:val="00C36812"/>
    <w:rsid w:val="00C41FB9"/>
    <w:rsid w:val="00C42436"/>
    <w:rsid w:val="00C47AFF"/>
    <w:rsid w:val="00C47DFA"/>
    <w:rsid w:val="00C63735"/>
    <w:rsid w:val="00C63885"/>
    <w:rsid w:val="00C64BD7"/>
    <w:rsid w:val="00C679A3"/>
    <w:rsid w:val="00C7024F"/>
    <w:rsid w:val="00C732C7"/>
    <w:rsid w:val="00C74A6B"/>
    <w:rsid w:val="00C81247"/>
    <w:rsid w:val="00CA5EB5"/>
    <w:rsid w:val="00CA67B9"/>
    <w:rsid w:val="00CB067C"/>
    <w:rsid w:val="00CB0D80"/>
    <w:rsid w:val="00CB20BC"/>
    <w:rsid w:val="00CB2B20"/>
    <w:rsid w:val="00CB2B68"/>
    <w:rsid w:val="00CB6F4E"/>
    <w:rsid w:val="00CC1785"/>
    <w:rsid w:val="00CC195B"/>
    <w:rsid w:val="00CC3FD6"/>
    <w:rsid w:val="00CC52FD"/>
    <w:rsid w:val="00CC633E"/>
    <w:rsid w:val="00CC6854"/>
    <w:rsid w:val="00CC7054"/>
    <w:rsid w:val="00CD3046"/>
    <w:rsid w:val="00CD361B"/>
    <w:rsid w:val="00CD3AB8"/>
    <w:rsid w:val="00CD610A"/>
    <w:rsid w:val="00CE2AFA"/>
    <w:rsid w:val="00CE5603"/>
    <w:rsid w:val="00CF24DE"/>
    <w:rsid w:val="00CF3EC6"/>
    <w:rsid w:val="00CF479A"/>
    <w:rsid w:val="00CF4E0C"/>
    <w:rsid w:val="00CF7098"/>
    <w:rsid w:val="00D019C9"/>
    <w:rsid w:val="00D0296D"/>
    <w:rsid w:val="00D075DD"/>
    <w:rsid w:val="00D101AA"/>
    <w:rsid w:val="00D12D73"/>
    <w:rsid w:val="00D1790B"/>
    <w:rsid w:val="00D20EEB"/>
    <w:rsid w:val="00D24D09"/>
    <w:rsid w:val="00D25B57"/>
    <w:rsid w:val="00D30AFB"/>
    <w:rsid w:val="00D31DA4"/>
    <w:rsid w:val="00D33468"/>
    <w:rsid w:val="00D36669"/>
    <w:rsid w:val="00D37A38"/>
    <w:rsid w:val="00D443AB"/>
    <w:rsid w:val="00D4536D"/>
    <w:rsid w:val="00D53CF7"/>
    <w:rsid w:val="00D53F10"/>
    <w:rsid w:val="00D6472E"/>
    <w:rsid w:val="00D655D4"/>
    <w:rsid w:val="00D80957"/>
    <w:rsid w:val="00D90738"/>
    <w:rsid w:val="00D920D0"/>
    <w:rsid w:val="00D92A2F"/>
    <w:rsid w:val="00D95523"/>
    <w:rsid w:val="00D95B13"/>
    <w:rsid w:val="00DA054F"/>
    <w:rsid w:val="00DA2991"/>
    <w:rsid w:val="00DA4C15"/>
    <w:rsid w:val="00DA7853"/>
    <w:rsid w:val="00DB05E7"/>
    <w:rsid w:val="00DB194E"/>
    <w:rsid w:val="00DB7933"/>
    <w:rsid w:val="00DC0119"/>
    <w:rsid w:val="00DC19BF"/>
    <w:rsid w:val="00DC5894"/>
    <w:rsid w:val="00DD2D33"/>
    <w:rsid w:val="00DD7919"/>
    <w:rsid w:val="00DE7C15"/>
    <w:rsid w:val="00DF0D95"/>
    <w:rsid w:val="00DF7A19"/>
    <w:rsid w:val="00E0333A"/>
    <w:rsid w:val="00E03F5D"/>
    <w:rsid w:val="00E05CB0"/>
    <w:rsid w:val="00E07BA5"/>
    <w:rsid w:val="00E11B2F"/>
    <w:rsid w:val="00E136A1"/>
    <w:rsid w:val="00E13A24"/>
    <w:rsid w:val="00E14B32"/>
    <w:rsid w:val="00E1735E"/>
    <w:rsid w:val="00E238E9"/>
    <w:rsid w:val="00E3182E"/>
    <w:rsid w:val="00E36969"/>
    <w:rsid w:val="00E4148A"/>
    <w:rsid w:val="00E419FD"/>
    <w:rsid w:val="00E421EA"/>
    <w:rsid w:val="00E45CB6"/>
    <w:rsid w:val="00E52BB8"/>
    <w:rsid w:val="00E55CDE"/>
    <w:rsid w:val="00E56A3E"/>
    <w:rsid w:val="00E6588D"/>
    <w:rsid w:val="00E71C2F"/>
    <w:rsid w:val="00E7487C"/>
    <w:rsid w:val="00E77A76"/>
    <w:rsid w:val="00E77A84"/>
    <w:rsid w:val="00E8026D"/>
    <w:rsid w:val="00E83204"/>
    <w:rsid w:val="00E839E5"/>
    <w:rsid w:val="00E8485B"/>
    <w:rsid w:val="00E91B18"/>
    <w:rsid w:val="00EA02A9"/>
    <w:rsid w:val="00EA550B"/>
    <w:rsid w:val="00EA56D5"/>
    <w:rsid w:val="00EB2C88"/>
    <w:rsid w:val="00EC04E9"/>
    <w:rsid w:val="00EC1946"/>
    <w:rsid w:val="00EC1F46"/>
    <w:rsid w:val="00ED04D5"/>
    <w:rsid w:val="00ED1C91"/>
    <w:rsid w:val="00ED6C05"/>
    <w:rsid w:val="00EE74DC"/>
    <w:rsid w:val="00EF1A85"/>
    <w:rsid w:val="00EF255C"/>
    <w:rsid w:val="00F004C1"/>
    <w:rsid w:val="00F011B6"/>
    <w:rsid w:val="00F100E2"/>
    <w:rsid w:val="00F13172"/>
    <w:rsid w:val="00F149D0"/>
    <w:rsid w:val="00F167E9"/>
    <w:rsid w:val="00F21DD2"/>
    <w:rsid w:val="00F24849"/>
    <w:rsid w:val="00F34BA8"/>
    <w:rsid w:val="00F3547A"/>
    <w:rsid w:val="00F35A12"/>
    <w:rsid w:val="00F440A7"/>
    <w:rsid w:val="00F44CEC"/>
    <w:rsid w:val="00F46B2D"/>
    <w:rsid w:val="00F4778A"/>
    <w:rsid w:val="00F504C4"/>
    <w:rsid w:val="00F5335C"/>
    <w:rsid w:val="00F556CE"/>
    <w:rsid w:val="00F558C6"/>
    <w:rsid w:val="00F60018"/>
    <w:rsid w:val="00F67D77"/>
    <w:rsid w:val="00F70ECE"/>
    <w:rsid w:val="00F770DD"/>
    <w:rsid w:val="00F81D94"/>
    <w:rsid w:val="00F840DE"/>
    <w:rsid w:val="00F8742F"/>
    <w:rsid w:val="00F87677"/>
    <w:rsid w:val="00F95540"/>
    <w:rsid w:val="00F9595A"/>
    <w:rsid w:val="00F9611C"/>
    <w:rsid w:val="00F96B02"/>
    <w:rsid w:val="00FA0BCB"/>
    <w:rsid w:val="00FA545F"/>
    <w:rsid w:val="00FA5BE5"/>
    <w:rsid w:val="00FB04EE"/>
    <w:rsid w:val="00FB0781"/>
    <w:rsid w:val="00FB34D3"/>
    <w:rsid w:val="00FB4AA9"/>
    <w:rsid w:val="00FB5EBC"/>
    <w:rsid w:val="00FB5F94"/>
    <w:rsid w:val="00FB63EF"/>
    <w:rsid w:val="00FB759E"/>
    <w:rsid w:val="00FC5EA0"/>
    <w:rsid w:val="00FD228B"/>
    <w:rsid w:val="00FD286C"/>
    <w:rsid w:val="00FD2DA3"/>
    <w:rsid w:val="00FD32A2"/>
    <w:rsid w:val="00FD407C"/>
    <w:rsid w:val="00FE0697"/>
    <w:rsid w:val="00FE2829"/>
    <w:rsid w:val="00FE6196"/>
    <w:rsid w:val="00FE6928"/>
    <w:rsid w:val="00FE69BC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5256ED3"/>
  <w15:docId w15:val="{071B8251-AA96-439D-8D42-6EDD6747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3A6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7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B05"/>
    <w:rPr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5"/>
    <w:rPr>
      <w:rFonts w:ascii="Tahoma" w:hAnsi="Tahoma" w:cs="Tahoma"/>
      <w:sz w:val="16"/>
      <w:szCs w:val="16"/>
      <w:lang w:val="en-ZA"/>
    </w:rPr>
  </w:style>
  <w:style w:type="table" w:styleId="TableGrid">
    <w:name w:val="Table Grid"/>
    <w:basedOn w:val="TableNormal"/>
    <w:uiPriority w:val="59"/>
    <w:rsid w:val="00A1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149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0D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EA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9EC"/>
    <w:rPr>
      <w:b/>
      <w:bCs/>
      <w:sz w:val="20"/>
      <w:szCs w:val="20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3D09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B9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3D7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B9"/>
    <w:rPr>
      <w:lang w:val="en-ZA"/>
    </w:rPr>
  </w:style>
  <w:style w:type="character" w:styleId="PlaceholderText">
    <w:name w:val="Placeholder Text"/>
    <w:basedOn w:val="DefaultParagraphFont"/>
    <w:uiPriority w:val="99"/>
    <w:semiHidden/>
    <w:rsid w:val="00870756"/>
    <w:rPr>
      <w:color w:val="808080"/>
    </w:rPr>
  </w:style>
  <w:style w:type="paragraph" w:styleId="Revision">
    <w:name w:val="Revision"/>
    <w:hidden/>
    <w:uiPriority w:val="99"/>
    <w:semiHidden/>
    <w:rsid w:val="00A30E86"/>
    <w:pPr>
      <w:spacing w:after="0" w:line="240" w:lineRule="auto"/>
    </w:pPr>
    <w:rPr>
      <w:lang w:val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077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fc.org/wps/wcm/connect/topics_ext_content/ifc_external_corporate_site/ifc+sustainability/our+approach/risk+management/ehsguidelines" TargetMode="External"/><Relationship Id="rId18" Type="http://schemas.openxmlformats.org/officeDocument/2006/relationships/hyperlink" Target="https://www.ifc.org/wps/wcm/connect/Topics_Ext_Content/IFC_External_Corporate_Site/Sustainability-At-IFC/Policies-Standards/Performance-Standard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ifc.org/wps/wcm/connect/Topics_Ext_Content/IFC_External_Corporate_Site/IFC+Sustainability/Our+Approach/Risk+Management/Performance+Standards" TargetMode="External"/><Relationship Id="rId17" Type="http://schemas.openxmlformats.org/officeDocument/2006/relationships/hyperlink" Target="http://ifcextapps.ifc.org/ifcext/spiwebsite1.nsf/$$Search?openfor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ilo.org/global/standards/introduction-to-international-labour-standards/conventions-and-recommendations/lang--en/index.ht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ifc.org/wps/wcm/connect/topics_ext_content/ifc_external_corporate_site/sustainability-at-ifc/policies-standards/ehs-guidelin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fcextapps.ifc.org/ifcext/spiwebsite1.nsf/$$Search?openfor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cb497-4044-4cf2-90cc-f4ae0dbc3665">
      <Value>33</Value>
    </TaxCatchAll>
    <e60208c032404629b4d3226b63133635 xmlns="870cb497-4044-4cf2-90cc-f4ae0dbc36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Social Responsibility</TermName>
          <TermId xmlns="http://schemas.microsoft.com/office/infopath/2007/PartnerControls">33ad2915-8861-4337-ac5a-5f7bdfeb2377</TermId>
        </TermInfo>
      </Terms>
    </e60208c032404629b4d3226b63133635>
    <m84d7c7f63cb451b899bccc83df50b61 xmlns="870cb497-4044-4cf2-90cc-f4ae0dbc3665">
      <Terms xmlns="http://schemas.microsoft.com/office/infopath/2007/PartnerControls"/>
    </m84d7c7f63cb451b899bccc83df50b6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C7A8DD8FE7C45B8EC80E9A093EEDE" ma:contentTypeVersion="4" ma:contentTypeDescription="Create a new document." ma:contentTypeScope="" ma:versionID="a090791e70de81ae6f705355640ca45c">
  <xsd:schema xmlns:xsd="http://www.w3.org/2001/XMLSchema" xmlns:xs="http://www.w3.org/2001/XMLSchema" xmlns:p="http://schemas.microsoft.com/office/2006/metadata/properties" xmlns:ns2="870cb497-4044-4cf2-90cc-f4ae0dbc3665" xmlns:ns3="1931f4e8-2f40-4384-a90e-574fbe220c6b" targetNamespace="http://schemas.microsoft.com/office/2006/metadata/properties" ma:root="true" ma:fieldsID="8bc3b33783593334b9d68fe0e7471b61" ns2:_="" ns3:_="">
    <xsd:import namespace="870cb497-4044-4cf2-90cc-f4ae0dbc3665"/>
    <xsd:import namespace="1931f4e8-2f40-4384-a90e-574fbe220c6b"/>
    <xsd:element name="properties">
      <xsd:complexType>
        <xsd:sequence>
          <xsd:element name="documentManagement">
            <xsd:complexType>
              <xsd:all>
                <xsd:element ref="ns2:m84d7c7f63cb451b899bccc83df50b61" minOccurs="0"/>
                <xsd:element ref="ns2:TaxCatchAll" minOccurs="0"/>
                <xsd:element ref="ns2:TaxCatchAllLabel" minOccurs="0"/>
                <xsd:element ref="ns2:e60208c032404629b4d3226b63133635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cb497-4044-4cf2-90cc-f4ae0dbc3665" elementFormDefault="qualified">
    <xsd:import namespace="http://schemas.microsoft.com/office/2006/documentManagement/types"/>
    <xsd:import namespace="http://schemas.microsoft.com/office/infopath/2007/PartnerControls"/>
    <xsd:element name="m84d7c7f63cb451b899bccc83df50b61" ma:index="8" nillable="true" ma:taxonomy="true" ma:internalName="m84d7c7f63cb451b899bccc83df50b61" ma:taxonomyFieldName="CDCDocumentType" ma:displayName="Document Type" ma:default="" ma:fieldId="{684d7c7f-63cb-451b-899b-ccc83df50b61}" ma:sspId="a5800705-6cab-460c-b450-fee685b6c533" ma:termSetId="9f4130ef-8c5c-407c-aa7b-8c88a3643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bfd7f20-e017-4127-9f61-fe49932a1126}" ma:internalName="TaxCatchAll" ma:showField="CatchAllData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bfd7f20-e017-4127-9f61-fe49932a1126}" ma:internalName="TaxCatchAllLabel" ma:readOnly="true" ma:showField="CatchAllDataLabel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0208c032404629b4d3226b63133635" ma:index="12" nillable="true" ma:taxonomy="true" ma:internalName="e60208c032404629b4d3226b63133635" ma:taxonomyFieldName="CDCRelateTo" ma:displayName="Relates To" ma:default="33;#Environmental and Social Responsibility|33ad2915-8861-4337-ac5a-5f7bdfeb2377" ma:fieldId="{e60208c0-3240-4629-b4d3-226b63133635}" ma:taxonomyMulti="true" ma:sspId="a5800705-6cab-460c-b450-fee685b6c533" ma:termSetId="393c547d-ea85-45f5-81e1-f49dc26bf6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1f4e8-2f40-4384-a90e-574fbe220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5800705-6cab-460c-b450-fee685b6c533" ContentTypeId="0x0101" PreviousValue="false"/>
</file>

<file path=customXml/itemProps1.xml><?xml version="1.0" encoding="utf-8"?>
<ds:datastoreItem xmlns:ds="http://schemas.openxmlformats.org/officeDocument/2006/customXml" ds:itemID="{1A78E27C-D055-423F-B2FB-ADDA9D3264FC}">
  <ds:schemaRefs>
    <ds:schemaRef ds:uri="http://schemas.microsoft.com/office/2006/metadata/properties"/>
    <ds:schemaRef ds:uri="http://schemas.microsoft.com/office/infopath/2007/PartnerControls"/>
    <ds:schemaRef ds:uri="870cb497-4044-4cf2-90cc-f4ae0dbc3665"/>
  </ds:schemaRefs>
</ds:datastoreItem>
</file>

<file path=customXml/itemProps2.xml><?xml version="1.0" encoding="utf-8"?>
<ds:datastoreItem xmlns:ds="http://schemas.openxmlformats.org/officeDocument/2006/customXml" ds:itemID="{581699BC-32C2-424E-9D59-810976EC82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0D952-FBA1-4ABE-94E0-1DCDF0063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cb497-4044-4cf2-90cc-f4ae0dbc3665"/>
    <ds:schemaRef ds:uri="1931f4e8-2f40-4384-a90e-574fbe220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7494B-643A-4E91-B738-42F5EC2065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F23C43-8D2B-4FE5-82D6-BA1896EA78E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Group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Eckstein</dc:creator>
  <cp:lastModifiedBy>Banji Jackson-Oke</cp:lastModifiedBy>
  <cp:revision>15</cp:revision>
  <cp:lastPrinted>2015-06-22T14:11:00Z</cp:lastPrinted>
  <dcterms:created xsi:type="dcterms:W3CDTF">2021-05-18T08:29:00Z</dcterms:created>
  <dcterms:modified xsi:type="dcterms:W3CDTF">2021-06-06T16:17:00Z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0x0101007FFC7A8DD8FE7C45B8EC80E9A093EEDE</vt:lpwstr>
  </property>
  <property fmtid="{D5CDD505-2E9C-101B-9397-08002B2CF9AE}" pid="3" name="CDCRelateTo">
    <vt:lpwstr>33;#Environmental and Social Responsibility|33ad2915-8861-4337-ac5a-5f7bdfeb2377</vt:lpwstr>
  </property>
  <property fmtid="{D5CDD505-2E9C-101B-9397-08002B2CF9AE}" pid="4" name="CDCDocumentType">
    <vt:lpwstr/>
  </property>
</Properties>
</file>