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78D04B" w14:textId="7166009E" w:rsidR="00761552" w:rsidRPr="00F23D78" w:rsidRDefault="008366D6" w:rsidP="00A06F92">
      <w:pPr>
        <w:rPr>
          <w:rFonts w:ascii="Georgia" w:hAnsi="Georgia" w:cs="Arial"/>
          <w:b/>
        </w:rPr>
      </w:pPr>
      <w:r w:rsidRPr="00F23D78">
        <w:rPr>
          <w:rFonts w:ascii="Georgia" w:hAnsi="Georgia" w:cs="Arial"/>
          <w:b/>
        </w:rPr>
        <w:t>CLIENT</w:t>
      </w:r>
      <w:r w:rsidR="00DA5F3D" w:rsidRPr="00F23D78">
        <w:rPr>
          <w:rFonts w:ascii="Georgia" w:hAnsi="Georgia" w:cs="Arial"/>
          <w:b/>
        </w:rPr>
        <w:t xml:space="preserve"> E</w:t>
      </w:r>
      <w:r w:rsidR="002E7C15" w:rsidRPr="00F23D78">
        <w:rPr>
          <w:rFonts w:ascii="Georgia" w:hAnsi="Georgia" w:cs="Arial"/>
          <w:b/>
        </w:rPr>
        <w:t>&amp;</w:t>
      </w:r>
      <w:r w:rsidR="00DA5F3D" w:rsidRPr="00F23D78">
        <w:rPr>
          <w:rFonts w:ascii="Georgia" w:hAnsi="Georgia" w:cs="Arial"/>
          <w:b/>
        </w:rPr>
        <w:t xml:space="preserve">S </w:t>
      </w:r>
      <w:r w:rsidRPr="00F23D78">
        <w:rPr>
          <w:rFonts w:ascii="Georgia" w:hAnsi="Georgia" w:cs="Arial"/>
          <w:b/>
        </w:rPr>
        <w:t xml:space="preserve">SITE VISIT REPORT </w:t>
      </w:r>
      <w:r w:rsidR="00FA7036" w:rsidRPr="00F23D78">
        <w:rPr>
          <w:rFonts w:ascii="Georgia" w:hAnsi="Georgia" w:cs="Arial"/>
          <w:b/>
        </w:rPr>
        <w:t>TEMPLATE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52D55" w:rsidRPr="00F23D78" w14:paraId="4F71FA22" w14:textId="77777777" w:rsidTr="00852D55">
        <w:tc>
          <w:tcPr>
            <w:tcW w:w="9016" w:type="dxa"/>
            <w:shd w:val="clear" w:color="auto" w:fill="C6D9F1"/>
          </w:tcPr>
          <w:p w14:paraId="585BF3F4" w14:textId="77777777" w:rsidR="00F23D78" w:rsidRDefault="00F23D78" w:rsidP="00F00561">
            <w:pPr>
              <w:rPr>
                <w:rFonts w:ascii="Georgia" w:hAnsi="Georgia" w:cs="Arial"/>
                <w:bCs/>
                <w:sz w:val="20"/>
                <w:szCs w:val="20"/>
              </w:rPr>
            </w:pPr>
          </w:p>
          <w:p w14:paraId="7B7034E6" w14:textId="1B20E773" w:rsidR="00F00561" w:rsidRDefault="00852D55" w:rsidP="00F00561">
            <w:pPr>
              <w:rPr>
                <w:rFonts w:ascii="Georgia" w:hAnsi="Georgia" w:cs="Arial"/>
                <w:bCs/>
                <w:sz w:val="20"/>
                <w:szCs w:val="20"/>
              </w:rPr>
            </w:pPr>
            <w:r w:rsidRPr="00F23D78">
              <w:rPr>
                <w:rFonts w:ascii="Georgia" w:hAnsi="Georgia" w:cs="Arial"/>
                <w:bCs/>
                <w:sz w:val="20"/>
                <w:szCs w:val="20"/>
              </w:rPr>
              <w:t xml:space="preserve">The purpose of the </w:t>
            </w:r>
            <w:r w:rsidR="008366D6" w:rsidRPr="00F23D78">
              <w:rPr>
                <w:rFonts w:ascii="Georgia" w:hAnsi="Georgia" w:cs="Arial"/>
                <w:bCs/>
                <w:sz w:val="20"/>
                <w:szCs w:val="20"/>
              </w:rPr>
              <w:t xml:space="preserve">client </w:t>
            </w:r>
            <w:r w:rsidRPr="00F23D78">
              <w:rPr>
                <w:rFonts w:ascii="Georgia" w:hAnsi="Georgia" w:cs="Arial"/>
                <w:bCs/>
                <w:sz w:val="20"/>
                <w:szCs w:val="20"/>
              </w:rPr>
              <w:t xml:space="preserve">E&amp;S </w:t>
            </w:r>
            <w:r w:rsidR="008366D6" w:rsidRPr="00F23D78">
              <w:rPr>
                <w:rFonts w:ascii="Georgia" w:hAnsi="Georgia" w:cs="Arial"/>
                <w:bCs/>
                <w:sz w:val="20"/>
                <w:szCs w:val="20"/>
              </w:rPr>
              <w:t>site visit report</w:t>
            </w:r>
            <w:r w:rsidRPr="00F23D78">
              <w:rPr>
                <w:rFonts w:ascii="Georgia" w:hAnsi="Georgia" w:cs="Arial"/>
                <w:bCs/>
                <w:sz w:val="20"/>
                <w:szCs w:val="20"/>
              </w:rPr>
              <w:t xml:space="preserve"> template is to provide guidance on the </w:t>
            </w:r>
            <w:r w:rsidR="00014C00" w:rsidRPr="00F23D78">
              <w:rPr>
                <w:rFonts w:ascii="Georgia" w:hAnsi="Georgia" w:cs="Arial"/>
                <w:bCs/>
                <w:sz w:val="20"/>
                <w:szCs w:val="20"/>
              </w:rPr>
              <w:t>key</w:t>
            </w:r>
            <w:r w:rsidRPr="00F23D78">
              <w:rPr>
                <w:rFonts w:ascii="Georgia" w:hAnsi="Georgia" w:cs="Arial"/>
                <w:bCs/>
                <w:sz w:val="20"/>
                <w:szCs w:val="20"/>
              </w:rPr>
              <w:t xml:space="preserve"> E&amp;S topics</w:t>
            </w:r>
            <w:r w:rsidR="00014C00" w:rsidRPr="00F23D78">
              <w:rPr>
                <w:rFonts w:ascii="Georgia" w:hAnsi="Georgia" w:cs="Arial"/>
                <w:bCs/>
                <w:sz w:val="20"/>
                <w:szCs w:val="20"/>
              </w:rPr>
              <w:t xml:space="preserve"> and </w:t>
            </w:r>
            <w:r w:rsidRPr="00F23D78">
              <w:rPr>
                <w:rFonts w:ascii="Georgia" w:hAnsi="Georgia" w:cs="Arial"/>
                <w:bCs/>
                <w:sz w:val="20"/>
                <w:szCs w:val="20"/>
              </w:rPr>
              <w:t>/</w:t>
            </w:r>
            <w:r w:rsidR="00014C00" w:rsidRPr="00F23D78">
              <w:rPr>
                <w:rFonts w:ascii="Georgia" w:hAnsi="Georgia" w:cs="Arial"/>
                <w:bCs/>
                <w:sz w:val="20"/>
                <w:szCs w:val="20"/>
              </w:rPr>
              <w:t xml:space="preserve"> or considerations </w:t>
            </w:r>
            <w:r w:rsidR="006E595C" w:rsidRPr="00F23D78">
              <w:rPr>
                <w:rFonts w:ascii="Georgia" w:hAnsi="Georgia" w:cs="Arial"/>
                <w:bCs/>
                <w:sz w:val="20"/>
                <w:szCs w:val="20"/>
              </w:rPr>
              <w:t xml:space="preserve">to </w:t>
            </w:r>
            <w:r w:rsidR="00E546C0" w:rsidRPr="00F23D78">
              <w:rPr>
                <w:rFonts w:ascii="Georgia" w:hAnsi="Georgia" w:cs="Arial"/>
                <w:bCs/>
                <w:sz w:val="20"/>
                <w:szCs w:val="20"/>
              </w:rPr>
              <w:t>take into account</w:t>
            </w:r>
            <w:r w:rsidR="006E595C" w:rsidRPr="00F23D78">
              <w:rPr>
                <w:rFonts w:ascii="Georgia" w:hAnsi="Georgia" w:cs="Arial"/>
                <w:bCs/>
                <w:sz w:val="20"/>
                <w:szCs w:val="20"/>
              </w:rPr>
              <w:t xml:space="preserve"> when undertaking a routine </w:t>
            </w:r>
            <w:r w:rsidR="007E3E26" w:rsidRPr="00F23D78">
              <w:rPr>
                <w:rFonts w:ascii="Georgia" w:hAnsi="Georgia" w:cs="Arial"/>
                <w:bCs/>
                <w:sz w:val="20"/>
                <w:szCs w:val="20"/>
              </w:rPr>
              <w:t xml:space="preserve">and / </w:t>
            </w:r>
            <w:r w:rsidR="006E595C" w:rsidRPr="00F23D78">
              <w:rPr>
                <w:rFonts w:ascii="Georgia" w:hAnsi="Georgia" w:cs="Arial"/>
                <w:bCs/>
                <w:sz w:val="20"/>
                <w:szCs w:val="20"/>
              </w:rPr>
              <w:t>or ad</w:t>
            </w:r>
            <w:r w:rsidR="00144738" w:rsidRPr="00F23D78">
              <w:rPr>
                <w:rFonts w:ascii="Georgia" w:hAnsi="Georgia" w:cs="Arial"/>
                <w:bCs/>
                <w:sz w:val="20"/>
                <w:szCs w:val="20"/>
              </w:rPr>
              <w:t>-</w:t>
            </w:r>
            <w:r w:rsidR="006E595C" w:rsidRPr="00F23D78">
              <w:rPr>
                <w:rFonts w:ascii="Georgia" w:hAnsi="Georgia" w:cs="Arial"/>
                <w:bCs/>
                <w:sz w:val="20"/>
                <w:szCs w:val="20"/>
              </w:rPr>
              <w:t>hoc site visit</w:t>
            </w:r>
            <w:r w:rsidR="00DD073A" w:rsidRPr="00F23D78">
              <w:rPr>
                <w:rFonts w:ascii="Georgia" w:hAnsi="Georgia" w:cs="Arial"/>
                <w:bCs/>
                <w:sz w:val="20"/>
                <w:szCs w:val="20"/>
              </w:rPr>
              <w:t>,</w:t>
            </w:r>
            <w:r w:rsidR="006E595C" w:rsidRPr="00F23D78">
              <w:rPr>
                <w:rFonts w:ascii="Georgia" w:hAnsi="Georgia" w:cs="Arial"/>
                <w:bCs/>
                <w:sz w:val="20"/>
                <w:szCs w:val="20"/>
              </w:rPr>
              <w:t xml:space="preserve"> during the </w:t>
            </w:r>
            <w:r w:rsidR="00AE7BE3" w:rsidRPr="00F23D78">
              <w:rPr>
                <w:rFonts w:ascii="Georgia" w:hAnsi="Georgia" w:cs="Arial"/>
                <w:bCs/>
                <w:sz w:val="20"/>
                <w:szCs w:val="20"/>
              </w:rPr>
              <w:t xml:space="preserve">due diligence or </w:t>
            </w:r>
            <w:r w:rsidR="006E595C" w:rsidRPr="00F23D78">
              <w:rPr>
                <w:rFonts w:ascii="Georgia" w:hAnsi="Georgia" w:cs="Arial"/>
                <w:bCs/>
                <w:sz w:val="20"/>
                <w:szCs w:val="20"/>
              </w:rPr>
              <w:t>monitoring stage</w:t>
            </w:r>
            <w:r w:rsidR="00AE7BE3" w:rsidRPr="00F23D78">
              <w:rPr>
                <w:rFonts w:ascii="Georgia" w:hAnsi="Georgia" w:cs="Arial"/>
                <w:bCs/>
                <w:sz w:val="20"/>
                <w:szCs w:val="20"/>
              </w:rPr>
              <w:t>s</w:t>
            </w:r>
            <w:r w:rsidR="006E595C" w:rsidRPr="00F23D78">
              <w:rPr>
                <w:rFonts w:ascii="Georgia" w:hAnsi="Georgia" w:cs="Arial"/>
                <w:bCs/>
                <w:sz w:val="20"/>
                <w:szCs w:val="20"/>
              </w:rPr>
              <w:t xml:space="preserve"> of the transaction cycle. </w:t>
            </w:r>
            <w:r w:rsidR="00144738" w:rsidRPr="00F23D78">
              <w:rPr>
                <w:rFonts w:ascii="Georgia" w:hAnsi="Georgia" w:cs="Arial"/>
                <w:bCs/>
                <w:sz w:val="20"/>
                <w:szCs w:val="20"/>
              </w:rPr>
              <w:t>Site visits seek to assess how well E&amp;S matters are being managed and validate</w:t>
            </w:r>
            <w:r w:rsidR="00557FFD" w:rsidRPr="00F23D78">
              <w:rPr>
                <w:rFonts w:ascii="Georgia" w:hAnsi="Georgia" w:cs="Arial"/>
                <w:bCs/>
                <w:sz w:val="20"/>
                <w:szCs w:val="20"/>
              </w:rPr>
              <w:t xml:space="preserve"> any</w:t>
            </w:r>
            <w:r w:rsidR="00144738" w:rsidRPr="00F23D78">
              <w:rPr>
                <w:rFonts w:ascii="Georgia" w:hAnsi="Georgia" w:cs="Arial"/>
                <w:bCs/>
                <w:sz w:val="20"/>
                <w:szCs w:val="20"/>
              </w:rPr>
              <w:t xml:space="preserve"> information provided by a</w:t>
            </w:r>
            <w:r w:rsidR="00366C2F" w:rsidRPr="00F23D78">
              <w:rPr>
                <w:rFonts w:ascii="Georgia" w:hAnsi="Georgia" w:cs="Arial"/>
                <w:bCs/>
                <w:sz w:val="20"/>
                <w:szCs w:val="20"/>
              </w:rPr>
              <w:t>n</w:t>
            </w:r>
            <w:r w:rsidR="00413665" w:rsidRPr="00F23D78">
              <w:rPr>
                <w:rFonts w:ascii="Georgia" w:hAnsi="Georgia" w:cs="Arial"/>
                <w:bCs/>
                <w:sz w:val="20"/>
                <w:szCs w:val="20"/>
              </w:rPr>
              <w:t xml:space="preserve"> FI</w:t>
            </w:r>
            <w:r w:rsidR="00144738" w:rsidRPr="00F23D78">
              <w:rPr>
                <w:rFonts w:ascii="Georgia" w:hAnsi="Georgia" w:cs="Arial"/>
                <w:bCs/>
                <w:sz w:val="20"/>
                <w:szCs w:val="20"/>
              </w:rPr>
              <w:t xml:space="preserve"> </w:t>
            </w:r>
            <w:r w:rsidR="00557FFD" w:rsidRPr="00F23D78">
              <w:rPr>
                <w:rFonts w:ascii="Georgia" w:hAnsi="Georgia" w:cs="Arial"/>
                <w:bCs/>
                <w:sz w:val="20"/>
                <w:szCs w:val="20"/>
              </w:rPr>
              <w:t>client</w:t>
            </w:r>
            <w:r w:rsidR="00413665" w:rsidRPr="00F23D78">
              <w:rPr>
                <w:rFonts w:ascii="Georgia" w:hAnsi="Georgia" w:cs="Arial"/>
                <w:bCs/>
                <w:sz w:val="20"/>
                <w:szCs w:val="20"/>
              </w:rPr>
              <w:t xml:space="preserve"> or </w:t>
            </w:r>
            <w:r w:rsidR="00557FFD" w:rsidRPr="00F23D78">
              <w:rPr>
                <w:rFonts w:ascii="Georgia" w:hAnsi="Georgia" w:cs="Arial"/>
                <w:bCs/>
                <w:sz w:val="20"/>
                <w:szCs w:val="20"/>
              </w:rPr>
              <w:t>project</w:t>
            </w:r>
            <w:r w:rsidR="00144738" w:rsidRPr="00F23D78">
              <w:rPr>
                <w:rFonts w:ascii="Georgia" w:hAnsi="Georgia" w:cs="Arial"/>
                <w:bCs/>
                <w:sz w:val="20"/>
                <w:szCs w:val="20"/>
              </w:rPr>
              <w:t xml:space="preserve">. </w:t>
            </w:r>
            <w:r w:rsidR="00010DB5" w:rsidRPr="00F23D78">
              <w:rPr>
                <w:rFonts w:ascii="Georgia" w:hAnsi="Georgia" w:cs="Arial"/>
                <w:bCs/>
                <w:sz w:val="20"/>
                <w:szCs w:val="20"/>
              </w:rPr>
              <w:t>T</w:t>
            </w:r>
            <w:r w:rsidR="006E595C" w:rsidRPr="00F23D78">
              <w:rPr>
                <w:rFonts w:ascii="Georgia" w:hAnsi="Georgia" w:cs="Arial"/>
                <w:bCs/>
                <w:sz w:val="20"/>
                <w:szCs w:val="20"/>
              </w:rPr>
              <w:t>he depth of review and associated frequency of</w:t>
            </w:r>
            <w:r w:rsidR="00DD073A" w:rsidRPr="00F23D78">
              <w:rPr>
                <w:rFonts w:ascii="Georgia" w:hAnsi="Georgia" w:cs="Arial"/>
                <w:bCs/>
                <w:sz w:val="20"/>
                <w:szCs w:val="20"/>
              </w:rPr>
              <w:t xml:space="preserve"> these</w:t>
            </w:r>
            <w:r w:rsidR="006E595C" w:rsidRPr="00F23D78">
              <w:rPr>
                <w:rFonts w:ascii="Georgia" w:hAnsi="Georgia" w:cs="Arial"/>
                <w:bCs/>
                <w:sz w:val="20"/>
                <w:szCs w:val="20"/>
              </w:rPr>
              <w:t xml:space="preserve"> reviews</w:t>
            </w:r>
            <w:r w:rsidR="00D43F06" w:rsidRPr="00F23D78">
              <w:rPr>
                <w:rFonts w:ascii="Georgia" w:hAnsi="Georgia" w:cs="Arial"/>
                <w:bCs/>
                <w:sz w:val="20"/>
                <w:szCs w:val="20"/>
              </w:rPr>
              <w:t xml:space="preserve"> in monitoring stage</w:t>
            </w:r>
            <w:r w:rsidR="006E595C" w:rsidRPr="00F23D78">
              <w:rPr>
                <w:rFonts w:ascii="Georgia" w:hAnsi="Georgia" w:cs="Arial"/>
                <w:bCs/>
                <w:sz w:val="20"/>
                <w:szCs w:val="20"/>
              </w:rPr>
              <w:t xml:space="preserve"> is dependent on the nature of the client</w:t>
            </w:r>
            <w:r w:rsidR="00010DB5" w:rsidRPr="00F23D78">
              <w:rPr>
                <w:rFonts w:ascii="Georgia" w:hAnsi="Georgia" w:cs="Arial"/>
                <w:bCs/>
                <w:sz w:val="20"/>
                <w:szCs w:val="20"/>
              </w:rPr>
              <w:t xml:space="preserve"> </w:t>
            </w:r>
            <w:r w:rsidR="006E595C" w:rsidRPr="00F23D78">
              <w:rPr>
                <w:rFonts w:ascii="Georgia" w:hAnsi="Georgia" w:cs="Arial"/>
                <w:bCs/>
                <w:sz w:val="20"/>
                <w:szCs w:val="20"/>
              </w:rPr>
              <w:t>/</w:t>
            </w:r>
            <w:r w:rsidR="00010DB5" w:rsidRPr="00F23D78">
              <w:rPr>
                <w:rFonts w:ascii="Georgia" w:hAnsi="Georgia" w:cs="Arial"/>
                <w:bCs/>
                <w:sz w:val="20"/>
                <w:szCs w:val="20"/>
              </w:rPr>
              <w:t xml:space="preserve"> </w:t>
            </w:r>
            <w:r w:rsidR="006E595C" w:rsidRPr="00F23D78">
              <w:rPr>
                <w:rFonts w:ascii="Georgia" w:hAnsi="Georgia" w:cs="Arial"/>
                <w:bCs/>
                <w:sz w:val="20"/>
                <w:szCs w:val="20"/>
              </w:rPr>
              <w:t>project (</w:t>
            </w:r>
            <w:r w:rsidR="007E3E26" w:rsidRPr="00F23D78">
              <w:rPr>
                <w:rFonts w:ascii="Georgia" w:hAnsi="Georgia" w:cs="Arial"/>
                <w:bCs/>
                <w:sz w:val="20"/>
                <w:szCs w:val="20"/>
              </w:rPr>
              <w:t>i.e.,</w:t>
            </w:r>
            <w:r w:rsidR="006E595C" w:rsidRPr="00F23D78">
              <w:rPr>
                <w:rFonts w:ascii="Georgia" w:hAnsi="Georgia" w:cs="Arial"/>
                <w:bCs/>
                <w:sz w:val="20"/>
                <w:szCs w:val="20"/>
              </w:rPr>
              <w:t xml:space="preserve"> the level of E</w:t>
            </w:r>
            <w:r w:rsidR="00557FFD" w:rsidRPr="00F23D78">
              <w:rPr>
                <w:rFonts w:ascii="Georgia" w:hAnsi="Georgia" w:cs="Arial"/>
                <w:bCs/>
                <w:sz w:val="20"/>
                <w:szCs w:val="20"/>
              </w:rPr>
              <w:t>&amp;</w:t>
            </w:r>
            <w:r w:rsidR="006E595C" w:rsidRPr="00F23D78">
              <w:rPr>
                <w:rFonts w:ascii="Georgia" w:hAnsi="Georgia" w:cs="Arial"/>
                <w:bCs/>
                <w:sz w:val="20"/>
                <w:szCs w:val="20"/>
              </w:rPr>
              <w:t>S risk exposure and extent of potential opportunities).</w:t>
            </w:r>
            <w:r w:rsidR="00F00561" w:rsidRPr="00F23D78">
              <w:rPr>
                <w:rFonts w:ascii="Georgia" w:hAnsi="Georgia"/>
              </w:rPr>
              <w:t xml:space="preserve"> </w:t>
            </w:r>
            <w:r w:rsidR="00F00561" w:rsidRPr="00F23D78">
              <w:rPr>
                <w:rFonts w:ascii="Georgia" w:hAnsi="Georgia" w:cs="Arial"/>
                <w:bCs/>
                <w:sz w:val="20"/>
                <w:szCs w:val="20"/>
              </w:rPr>
              <w:t>Visits may also be necessary when circumstances arise that pose specific areas of concern for the</w:t>
            </w:r>
            <w:r w:rsidR="002D066D" w:rsidRPr="00F23D78">
              <w:rPr>
                <w:rFonts w:ascii="Georgia" w:hAnsi="Georgia" w:cs="Arial"/>
                <w:bCs/>
                <w:sz w:val="20"/>
                <w:szCs w:val="20"/>
              </w:rPr>
              <w:t xml:space="preserve"> client/project and the</w:t>
            </w:r>
            <w:r w:rsidR="00F00561" w:rsidRPr="00F23D78">
              <w:rPr>
                <w:rFonts w:ascii="Georgia" w:hAnsi="Georgia" w:cs="Arial"/>
                <w:bCs/>
                <w:sz w:val="20"/>
                <w:szCs w:val="20"/>
              </w:rPr>
              <w:t xml:space="preserve"> FI, such as: </w:t>
            </w:r>
          </w:p>
          <w:p w14:paraId="3D783193" w14:textId="77777777" w:rsidR="00F23D78" w:rsidRPr="00F23D78" w:rsidRDefault="00F23D78" w:rsidP="00F00561">
            <w:pPr>
              <w:rPr>
                <w:rFonts w:ascii="Georgia" w:hAnsi="Georgia" w:cs="Arial"/>
                <w:bCs/>
                <w:sz w:val="20"/>
                <w:szCs w:val="20"/>
              </w:rPr>
            </w:pPr>
          </w:p>
          <w:p w14:paraId="1D54CC0B" w14:textId="348D28EB" w:rsidR="00557FFD" w:rsidRPr="00F23D78" w:rsidRDefault="00557FFD" w:rsidP="00557FFD">
            <w:pPr>
              <w:pStyle w:val="ListParagraph"/>
              <w:numPr>
                <w:ilvl w:val="0"/>
                <w:numId w:val="49"/>
              </w:numPr>
              <w:rPr>
                <w:rFonts w:ascii="Georgia" w:hAnsi="Georgia" w:cs="Arial"/>
                <w:bCs/>
                <w:sz w:val="20"/>
                <w:szCs w:val="20"/>
              </w:rPr>
            </w:pPr>
            <w:r w:rsidRPr="00F23D78">
              <w:rPr>
                <w:rFonts w:ascii="Georgia" w:hAnsi="Georgia" w:cs="Arial"/>
                <w:bCs/>
                <w:sz w:val="20"/>
                <w:szCs w:val="20"/>
              </w:rPr>
              <w:t xml:space="preserve">In response to an accident or incident, concerns raised by stakeholders, media reports or enquiries, or action by law enforcement </w:t>
            </w:r>
            <w:proofErr w:type="gramStart"/>
            <w:r w:rsidRPr="00F23D78">
              <w:rPr>
                <w:rFonts w:ascii="Georgia" w:hAnsi="Georgia" w:cs="Arial"/>
                <w:bCs/>
                <w:sz w:val="20"/>
                <w:szCs w:val="20"/>
              </w:rPr>
              <w:t>authorities;</w:t>
            </w:r>
            <w:proofErr w:type="gramEnd"/>
          </w:p>
          <w:p w14:paraId="59247F10" w14:textId="23D8D422" w:rsidR="00557FFD" w:rsidRPr="00F23D78" w:rsidRDefault="00557FFD" w:rsidP="00557FFD">
            <w:pPr>
              <w:pStyle w:val="ListParagraph"/>
              <w:numPr>
                <w:ilvl w:val="0"/>
                <w:numId w:val="49"/>
              </w:numPr>
              <w:rPr>
                <w:rFonts w:ascii="Georgia" w:hAnsi="Georgia" w:cs="Arial"/>
                <w:bCs/>
                <w:sz w:val="20"/>
                <w:szCs w:val="20"/>
              </w:rPr>
            </w:pPr>
            <w:r w:rsidRPr="00F23D78">
              <w:rPr>
                <w:rFonts w:ascii="Georgia" w:hAnsi="Georgia" w:cs="Arial"/>
                <w:bCs/>
                <w:sz w:val="20"/>
                <w:szCs w:val="20"/>
              </w:rPr>
              <w:t>When an acquisition or major development / extension in operations presenting potential new E&amp;S risk exposures is being considered; and</w:t>
            </w:r>
          </w:p>
          <w:p w14:paraId="3204687B" w14:textId="6E66D2B3" w:rsidR="00557FFD" w:rsidRPr="00F23D78" w:rsidRDefault="00557FFD" w:rsidP="00557FFD">
            <w:pPr>
              <w:pStyle w:val="ListParagraph"/>
              <w:numPr>
                <w:ilvl w:val="0"/>
                <w:numId w:val="49"/>
              </w:numPr>
              <w:rPr>
                <w:rFonts w:ascii="Georgia" w:hAnsi="Georgia" w:cs="Arial"/>
                <w:bCs/>
                <w:sz w:val="20"/>
                <w:szCs w:val="20"/>
              </w:rPr>
            </w:pPr>
            <w:r w:rsidRPr="00F23D78">
              <w:rPr>
                <w:rFonts w:ascii="Georgia" w:hAnsi="Georgia" w:cs="Arial"/>
                <w:bCs/>
                <w:sz w:val="20"/>
                <w:szCs w:val="20"/>
              </w:rPr>
              <w:t xml:space="preserve">A substantial change in the management team. </w:t>
            </w:r>
          </w:p>
          <w:p w14:paraId="63D214FD" w14:textId="77777777" w:rsidR="00557FFD" w:rsidRPr="00F23D78" w:rsidRDefault="00557FFD" w:rsidP="00F00561">
            <w:pPr>
              <w:rPr>
                <w:rFonts w:ascii="Georgia" w:hAnsi="Georgia" w:cs="Arial"/>
                <w:bCs/>
                <w:sz w:val="20"/>
                <w:szCs w:val="20"/>
              </w:rPr>
            </w:pPr>
          </w:p>
          <w:p w14:paraId="61EBC768" w14:textId="77777777" w:rsidR="00852D55" w:rsidRDefault="00956A20" w:rsidP="00A06F92">
            <w:pPr>
              <w:rPr>
                <w:rFonts w:ascii="Georgia" w:hAnsi="Georgia" w:cs="Arial"/>
                <w:bCs/>
                <w:sz w:val="20"/>
                <w:szCs w:val="20"/>
              </w:rPr>
            </w:pPr>
            <w:r w:rsidRPr="00F23D78">
              <w:rPr>
                <w:rFonts w:ascii="Georgia" w:hAnsi="Georgia" w:cs="Arial"/>
                <w:bCs/>
                <w:sz w:val="20"/>
                <w:szCs w:val="20"/>
              </w:rPr>
              <w:t>Findings from the site visit</w:t>
            </w:r>
            <w:r w:rsidR="005765D5" w:rsidRPr="00F23D78">
              <w:rPr>
                <w:rFonts w:ascii="Georgia" w:hAnsi="Georgia" w:cs="Arial"/>
                <w:bCs/>
                <w:sz w:val="20"/>
                <w:szCs w:val="20"/>
              </w:rPr>
              <w:t xml:space="preserve"> should be formally documented in a site visit report and</w:t>
            </w:r>
            <w:r w:rsidR="00D471D8" w:rsidRPr="00F23D78">
              <w:rPr>
                <w:rFonts w:ascii="Georgia" w:hAnsi="Georgia" w:cs="Arial"/>
                <w:bCs/>
                <w:sz w:val="20"/>
                <w:szCs w:val="20"/>
              </w:rPr>
              <w:t xml:space="preserve"> any material issues</w:t>
            </w:r>
            <w:r w:rsidR="005765D5" w:rsidRPr="00F23D78">
              <w:rPr>
                <w:rFonts w:ascii="Georgia" w:hAnsi="Georgia" w:cs="Arial"/>
                <w:bCs/>
                <w:sz w:val="20"/>
                <w:szCs w:val="20"/>
              </w:rPr>
              <w:t xml:space="preserve"> shared with appropriate FI resources</w:t>
            </w:r>
            <w:r w:rsidRPr="00F23D78">
              <w:rPr>
                <w:rFonts w:ascii="Georgia" w:hAnsi="Georgia" w:cs="Arial"/>
                <w:bCs/>
                <w:sz w:val="20"/>
                <w:szCs w:val="20"/>
              </w:rPr>
              <w:t xml:space="preserve"> upon return to the office (</w:t>
            </w:r>
            <w:r w:rsidR="007E3E26" w:rsidRPr="00F23D78">
              <w:rPr>
                <w:rFonts w:ascii="Georgia" w:hAnsi="Georgia" w:cs="Arial"/>
                <w:bCs/>
                <w:sz w:val="20"/>
                <w:szCs w:val="20"/>
              </w:rPr>
              <w:t>i.e.,</w:t>
            </w:r>
            <w:r w:rsidRPr="00F23D78">
              <w:rPr>
                <w:rFonts w:ascii="Georgia" w:hAnsi="Georgia" w:cs="Arial"/>
                <w:bCs/>
                <w:sz w:val="20"/>
                <w:szCs w:val="20"/>
              </w:rPr>
              <w:t xml:space="preserve"> </w:t>
            </w:r>
            <w:r w:rsidR="00D471D8" w:rsidRPr="00F23D78">
              <w:rPr>
                <w:rFonts w:ascii="Georgia" w:hAnsi="Georgia" w:cs="Arial"/>
                <w:bCs/>
                <w:sz w:val="20"/>
                <w:szCs w:val="20"/>
              </w:rPr>
              <w:t>transaction team and transaction committee)</w:t>
            </w:r>
            <w:r w:rsidR="005765D5" w:rsidRPr="00F23D78">
              <w:rPr>
                <w:rFonts w:ascii="Georgia" w:hAnsi="Georgia" w:cs="Arial"/>
                <w:bCs/>
                <w:sz w:val="20"/>
                <w:szCs w:val="20"/>
              </w:rPr>
              <w:t xml:space="preserve">. </w:t>
            </w:r>
            <w:r w:rsidR="00B30DF0" w:rsidRPr="00F23D78">
              <w:rPr>
                <w:rFonts w:ascii="Georgia" w:hAnsi="Georgia" w:cs="Arial"/>
                <w:bCs/>
                <w:sz w:val="20"/>
                <w:szCs w:val="20"/>
              </w:rPr>
              <w:t xml:space="preserve">It is recommended to ask permission for taking pictures at the site as they may be useful for follow-up or evidence purposes. When conducting </w:t>
            </w:r>
            <w:r w:rsidR="00D43F06" w:rsidRPr="00F23D78">
              <w:rPr>
                <w:rFonts w:ascii="Georgia" w:hAnsi="Georgia" w:cs="Arial"/>
                <w:bCs/>
                <w:sz w:val="20"/>
                <w:szCs w:val="20"/>
              </w:rPr>
              <w:t xml:space="preserve">a </w:t>
            </w:r>
            <w:r w:rsidR="00B30DF0" w:rsidRPr="00F23D78">
              <w:rPr>
                <w:rFonts w:ascii="Georgia" w:hAnsi="Georgia" w:cs="Arial"/>
                <w:bCs/>
                <w:sz w:val="20"/>
                <w:szCs w:val="20"/>
              </w:rPr>
              <w:t>site visit, holding short interviews with workers or their representatives is recommended to triangulate information received from documentation and management.</w:t>
            </w:r>
            <w:r w:rsidR="00C939A4" w:rsidRPr="00F23D78">
              <w:rPr>
                <w:rFonts w:ascii="Georgia" w:hAnsi="Georgia" w:cs="Arial"/>
                <w:bCs/>
                <w:sz w:val="20"/>
                <w:szCs w:val="20"/>
              </w:rPr>
              <w:t xml:space="preserve"> This can be supported by conversations with the workers during the site walkaround. </w:t>
            </w:r>
          </w:p>
          <w:p w14:paraId="3DCBD332" w14:textId="5AAAB4ED" w:rsidR="00F23D78" w:rsidRPr="00F23D78" w:rsidRDefault="00F23D78" w:rsidP="00A06F92">
            <w:pPr>
              <w:rPr>
                <w:rFonts w:ascii="Georgia" w:hAnsi="Georgia" w:cs="Arial"/>
                <w:bCs/>
                <w:sz w:val="20"/>
                <w:szCs w:val="20"/>
              </w:rPr>
            </w:pPr>
          </w:p>
        </w:tc>
      </w:tr>
    </w:tbl>
    <w:p w14:paraId="56951987" w14:textId="77777777" w:rsidR="00852D55" w:rsidRPr="00F23D78" w:rsidRDefault="00852D55" w:rsidP="00A06F92">
      <w:pPr>
        <w:rPr>
          <w:rFonts w:ascii="Georgia" w:hAnsi="Georgia" w:cs="Arial"/>
          <w:b/>
          <w:sz w:val="10"/>
          <w:szCs w:val="10"/>
        </w:rPr>
      </w:pPr>
    </w:p>
    <w:tbl>
      <w:tblPr>
        <w:tblStyle w:val="TableGrid"/>
        <w:tblW w:w="5008" w:type="pct"/>
        <w:tblInd w:w="-8" w:type="dxa"/>
        <w:tblLayout w:type="fixed"/>
        <w:tblLook w:val="04A0" w:firstRow="1" w:lastRow="0" w:firstColumn="1" w:lastColumn="0" w:noHBand="0" w:noVBand="1"/>
      </w:tblPr>
      <w:tblGrid>
        <w:gridCol w:w="2412"/>
        <w:gridCol w:w="13"/>
        <w:gridCol w:w="6605"/>
      </w:tblGrid>
      <w:tr w:rsidR="00413665" w:rsidRPr="00F23D78" w14:paraId="30063A0C" w14:textId="77777777" w:rsidTr="00816BA9">
        <w:trPr>
          <w:cantSplit/>
          <w:trHeight w:val="323"/>
        </w:trPr>
        <w:tc>
          <w:tcPr>
            <w:tcW w:w="5000" w:type="pct"/>
            <w:gridSpan w:val="3"/>
            <w:shd w:val="clear" w:color="auto" w:fill="C6D9F1"/>
            <w:vAlign w:val="center"/>
          </w:tcPr>
          <w:p w14:paraId="2694A838" w14:textId="4701B8E6" w:rsidR="00413665" w:rsidRPr="00F23D78" w:rsidRDefault="00413665" w:rsidP="00816BA9">
            <w:pPr>
              <w:rPr>
                <w:rFonts w:ascii="Georgia" w:hAnsi="Georgia" w:cs="Arial"/>
                <w:b/>
                <w:sz w:val="20"/>
                <w:szCs w:val="20"/>
                <w:lang w:val="en-GB"/>
              </w:rPr>
            </w:pPr>
            <w:r w:rsidRPr="00F23D78">
              <w:rPr>
                <w:rFonts w:ascii="Georgia" w:hAnsi="Georgia" w:cs="Arial"/>
                <w:b/>
                <w:sz w:val="20"/>
                <w:szCs w:val="20"/>
                <w:lang w:val="en-GB"/>
              </w:rPr>
              <w:t>E&amp;</w:t>
            </w:r>
            <w:r w:rsidRPr="00F23D78">
              <w:rPr>
                <w:rFonts w:ascii="Georgia" w:hAnsi="Georgia" w:cs="Arial"/>
                <w:b/>
                <w:sz w:val="20"/>
                <w:szCs w:val="20"/>
              </w:rPr>
              <w:t>S Site Visit Template</w:t>
            </w:r>
            <w:r w:rsidRPr="00F23D78">
              <w:rPr>
                <w:rFonts w:ascii="Georgia" w:hAnsi="Georgia" w:cs="Arial"/>
                <w:b/>
                <w:sz w:val="20"/>
                <w:szCs w:val="20"/>
                <w:lang w:val="en-GB"/>
              </w:rPr>
              <w:t xml:space="preserve"> </w:t>
            </w:r>
          </w:p>
        </w:tc>
      </w:tr>
      <w:tr w:rsidR="009A7162" w:rsidRPr="00F23D78" w14:paraId="35944488" w14:textId="77777777" w:rsidTr="00816BA9">
        <w:trPr>
          <w:cantSplit/>
          <w:trHeight w:val="652"/>
        </w:trPr>
        <w:tc>
          <w:tcPr>
            <w:tcW w:w="1343" w:type="pct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C34078" w14:textId="53715F19" w:rsidR="009A7162" w:rsidRPr="00F23D78" w:rsidRDefault="009A7162" w:rsidP="009A7162">
            <w:pPr>
              <w:rPr>
                <w:rFonts w:ascii="Georgia" w:hAnsi="Georgia" w:cs="Arial"/>
                <w:b/>
                <w:sz w:val="20"/>
                <w:szCs w:val="20"/>
              </w:rPr>
            </w:pPr>
            <w:r w:rsidRPr="00F23D78">
              <w:rPr>
                <w:rFonts w:ascii="Georgia" w:hAnsi="Georgia" w:cs="Arial"/>
                <w:b/>
                <w:sz w:val="20"/>
                <w:szCs w:val="20"/>
              </w:rPr>
              <w:t>Rationale for visit</w:t>
            </w:r>
            <w:r w:rsidR="004C5289" w:rsidRPr="00F23D78">
              <w:rPr>
                <w:rFonts w:ascii="Georgia" w:hAnsi="Georgia" w:cs="Arial"/>
                <w:b/>
                <w:sz w:val="20"/>
                <w:szCs w:val="20"/>
              </w:rPr>
              <w:t>:</w:t>
            </w:r>
          </w:p>
        </w:tc>
        <w:tc>
          <w:tcPr>
            <w:tcW w:w="3657" w:type="pct"/>
            <w:tcBorders>
              <w:bottom w:val="single" w:sz="4" w:space="0" w:color="auto"/>
            </w:tcBorders>
            <w:vAlign w:val="center"/>
          </w:tcPr>
          <w:p w14:paraId="218CE75B" w14:textId="7F7104FA" w:rsidR="009A7162" w:rsidRPr="00F23D78" w:rsidRDefault="00581499" w:rsidP="009A7162">
            <w:pPr>
              <w:rPr>
                <w:rFonts w:ascii="Georgia" w:hAnsi="Georgia" w:cs="Arial"/>
                <w:i/>
                <w:iCs/>
                <w:sz w:val="18"/>
                <w:szCs w:val="18"/>
              </w:rPr>
            </w:pPr>
            <w:r w:rsidRPr="00F23D78">
              <w:rPr>
                <w:rFonts w:ascii="Georgia" w:hAnsi="Georgia" w:cs="Arial"/>
                <w:i/>
                <w:iCs/>
                <w:sz w:val="18"/>
                <w:szCs w:val="18"/>
              </w:rPr>
              <w:t xml:space="preserve">Provide </w:t>
            </w:r>
            <w:r w:rsidR="00727763" w:rsidRPr="00F23D78">
              <w:rPr>
                <w:rFonts w:ascii="Georgia" w:hAnsi="Georgia" w:cs="Arial"/>
                <w:i/>
                <w:iCs/>
                <w:sz w:val="18"/>
                <w:szCs w:val="18"/>
              </w:rPr>
              <w:t xml:space="preserve">the rationale for the site visit e.g., </w:t>
            </w:r>
            <w:r w:rsidR="003519D4" w:rsidRPr="00F23D78">
              <w:rPr>
                <w:rFonts w:ascii="Georgia" w:hAnsi="Georgia" w:cs="Arial"/>
                <w:i/>
                <w:iCs/>
                <w:sz w:val="18"/>
                <w:szCs w:val="18"/>
              </w:rPr>
              <w:t xml:space="preserve">due diligence, </w:t>
            </w:r>
            <w:r w:rsidR="00727763" w:rsidRPr="00F23D78">
              <w:rPr>
                <w:rFonts w:ascii="Georgia" w:hAnsi="Georgia" w:cs="Arial"/>
                <w:i/>
                <w:iCs/>
                <w:sz w:val="18"/>
                <w:szCs w:val="18"/>
              </w:rPr>
              <w:t>r</w:t>
            </w:r>
            <w:r w:rsidR="009A7162" w:rsidRPr="00F23D78">
              <w:rPr>
                <w:rFonts w:ascii="Georgia" w:hAnsi="Georgia" w:cs="Arial"/>
                <w:i/>
                <w:iCs/>
                <w:sz w:val="18"/>
                <w:szCs w:val="18"/>
              </w:rPr>
              <w:t xml:space="preserve">outine </w:t>
            </w:r>
            <w:r w:rsidR="00727763" w:rsidRPr="00F23D78">
              <w:rPr>
                <w:rFonts w:ascii="Georgia" w:hAnsi="Georgia" w:cs="Arial"/>
                <w:i/>
                <w:iCs/>
                <w:sz w:val="18"/>
                <w:szCs w:val="18"/>
              </w:rPr>
              <w:t xml:space="preserve">visit </w:t>
            </w:r>
            <w:r w:rsidR="009A7162" w:rsidRPr="00F23D78">
              <w:rPr>
                <w:rFonts w:ascii="Georgia" w:hAnsi="Georgia" w:cs="Arial"/>
                <w:i/>
                <w:iCs/>
                <w:sz w:val="18"/>
                <w:szCs w:val="18"/>
              </w:rPr>
              <w:t>/ ad-hoc</w:t>
            </w:r>
            <w:r w:rsidR="00727763" w:rsidRPr="00F23D78">
              <w:rPr>
                <w:rFonts w:ascii="Georgia" w:hAnsi="Georgia" w:cs="Arial"/>
                <w:i/>
                <w:iCs/>
                <w:sz w:val="18"/>
                <w:szCs w:val="18"/>
              </w:rPr>
              <w:t xml:space="preserve"> </w:t>
            </w:r>
            <w:r w:rsidR="009A7162" w:rsidRPr="00F23D78">
              <w:rPr>
                <w:rFonts w:ascii="Georgia" w:hAnsi="Georgia" w:cs="Arial"/>
                <w:i/>
                <w:iCs/>
                <w:sz w:val="18"/>
                <w:szCs w:val="18"/>
              </w:rPr>
              <w:t>/</w:t>
            </w:r>
            <w:r w:rsidR="00727763" w:rsidRPr="00F23D78">
              <w:rPr>
                <w:rFonts w:ascii="Georgia" w:hAnsi="Georgia" w:cs="Arial"/>
                <w:i/>
                <w:iCs/>
                <w:sz w:val="18"/>
                <w:szCs w:val="18"/>
              </w:rPr>
              <w:t xml:space="preserve"> trigger</w:t>
            </w:r>
            <w:r w:rsidR="00E25935" w:rsidRPr="00F23D78">
              <w:rPr>
                <w:rFonts w:ascii="Georgia" w:hAnsi="Georgia" w:cs="Arial"/>
                <w:i/>
                <w:iCs/>
                <w:sz w:val="18"/>
                <w:szCs w:val="18"/>
              </w:rPr>
              <w:t>ed</w:t>
            </w:r>
            <w:r w:rsidR="00727763" w:rsidRPr="00F23D78">
              <w:rPr>
                <w:rFonts w:ascii="Georgia" w:hAnsi="Georgia" w:cs="Arial"/>
                <w:i/>
                <w:iCs/>
                <w:sz w:val="18"/>
                <w:szCs w:val="18"/>
              </w:rPr>
              <w:t xml:space="preserve"> by </w:t>
            </w:r>
            <w:r w:rsidR="00E25935" w:rsidRPr="00F23D78">
              <w:rPr>
                <w:rFonts w:ascii="Georgia" w:hAnsi="Georgia" w:cs="Arial"/>
                <w:i/>
                <w:iCs/>
                <w:sz w:val="18"/>
                <w:szCs w:val="18"/>
              </w:rPr>
              <w:t xml:space="preserve">a </w:t>
            </w:r>
            <w:r w:rsidR="00727763" w:rsidRPr="00F23D78">
              <w:rPr>
                <w:rFonts w:ascii="Georgia" w:hAnsi="Georgia" w:cs="Arial"/>
                <w:i/>
                <w:iCs/>
                <w:sz w:val="18"/>
                <w:szCs w:val="18"/>
              </w:rPr>
              <w:t>specific</w:t>
            </w:r>
            <w:r w:rsidR="009A7162" w:rsidRPr="00F23D78">
              <w:rPr>
                <w:rFonts w:ascii="Georgia" w:hAnsi="Georgia" w:cs="Arial"/>
                <w:i/>
                <w:iCs/>
                <w:sz w:val="18"/>
                <w:szCs w:val="18"/>
              </w:rPr>
              <w:t xml:space="preserve"> </w:t>
            </w:r>
            <w:r w:rsidR="00727763" w:rsidRPr="00F23D78">
              <w:rPr>
                <w:rFonts w:ascii="Georgia" w:hAnsi="Georgia" w:cs="Arial"/>
                <w:i/>
                <w:iCs/>
                <w:sz w:val="18"/>
                <w:szCs w:val="18"/>
              </w:rPr>
              <w:t>E&amp;S related matter/issue, etc</w:t>
            </w:r>
            <w:r w:rsidR="009A7162" w:rsidRPr="00F23D78">
              <w:rPr>
                <w:rFonts w:ascii="Georgia" w:hAnsi="Georgia" w:cs="Arial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9A7162" w:rsidRPr="00F23D78" w14:paraId="4E5F15B1" w14:textId="77777777" w:rsidTr="00816BA9">
        <w:trPr>
          <w:cantSplit/>
          <w:trHeight w:val="712"/>
        </w:trPr>
        <w:tc>
          <w:tcPr>
            <w:tcW w:w="1343" w:type="pct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A9C5BA" w14:textId="0513125A" w:rsidR="009A7162" w:rsidRPr="00F23D78" w:rsidRDefault="00D11F49" w:rsidP="009A7162">
            <w:pPr>
              <w:rPr>
                <w:rFonts w:ascii="Georgia" w:hAnsi="Georgia" w:cs="Arial"/>
                <w:b/>
                <w:sz w:val="20"/>
                <w:szCs w:val="20"/>
              </w:rPr>
            </w:pPr>
            <w:r w:rsidRPr="00F23D78">
              <w:rPr>
                <w:rFonts w:ascii="Georgia" w:hAnsi="Georgia" w:cs="Arial"/>
                <w:b/>
                <w:sz w:val="20"/>
                <w:szCs w:val="20"/>
              </w:rPr>
              <w:t>Assessor</w:t>
            </w:r>
            <w:r w:rsidR="00460FD0" w:rsidRPr="00F23D78">
              <w:rPr>
                <w:rFonts w:ascii="Georgia" w:hAnsi="Georgia" w:cs="Arial"/>
                <w:b/>
                <w:sz w:val="20"/>
                <w:szCs w:val="20"/>
              </w:rPr>
              <w:t>(s)</w:t>
            </w:r>
            <w:r w:rsidR="00727763" w:rsidRPr="00F23D78">
              <w:rPr>
                <w:rFonts w:ascii="Georgia" w:hAnsi="Georgia" w:cs="Arial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3657" w:type="pct"/>
            <w:tcBorders>
              <w:bottom w:val="single" w:sz="4" w:space="0" w:color="auto"/>
            </w:tcBorders>
            <w:vAlign w:val="center"/>
          </w:tcPr>
          <w:p w14:paraId="3113598C" w14:textId="0C67A766" w:rsidR="009A7162" w:rsidRPr="00F23D78" w:rsidRDefault="009A7162" w:rsidP="009A7162">
            <w:pPr>
              <w:rPr>
                <w:rFonts w:ascii="Georgia" w:hAnsi="Georgia" w:cs="Arial"/>
                <w:i/>
                <w:iCs/>
                <w:sz w:val="18"/>
                <w:szCs w:val="18"/>
              </w:rPr>
            </w:pPr>
            <w:r w:rsidRPr="00F23D78">
              <w:rPr>
                <w:rFonts w:ascii="Georgia" w:hAnsi="Georgia" w:cs="Arial"/>
                <w:i/>
                <w:iCs/>
                <w:sz w:val="18"/>
                <w:szCs w:val="18"/>
              </w:rPr>
              <w:t xml:space="preserve">Indicate who conducted the site visit </w:t>
            </w:r>
            <w:r w:rsidR="00727763" w:rsidRPr="00F23D78">
              <w:rPr>
                <w:rFonts w:ascii="Georgia" w:hAnsi="Georgia" w:cs="Arial"/>
                <w:i/>
                <w:iCs/>
                <w:sz w:val="18"/>
                <w:szCs w:val="18"/>
              </w:rPr>
              <w:t>(including name, surname, organisation, position held</w:t>
            </w:r>
            <w:r w:rsidR="00D11F49" w:rsidRPr="00F23D78">
              <w:rPr>
                <w:rFonts w:ascii="Georgia" w:hAnsi="Georgia" w:cs="Arial"/>
                <w:i/>
                <w:iCs/>
                <w:sz w:val="18"/>
                <w:szCs w:val="18"/>
              </w:rPr>
              <w:t>, etc</w:t>
            </w:r>
            <w:r w:rsidR="00727763" w:rsidRPr="00F23D78">
              <w:rPr>
                <w:rFonts w:ascii="Georgia" w:hAnsi="Georgia" w:cs="Arial"/>
                <w:i/>
                <w:iCs/>
                <w:sz w:val="18"/>
                <w:szCs w:val="18"/>
              </w:rPr>
              <w:t xml:space="preserve">) </w:t>
            </w:r>
            <w:r w:rsidRPr="00F23D78">
              <w:rPr>
                <w:rFonts w:ascii="Georgia" w:hAnsi="Georgia" w:cs="Arial"/>
                <w:i/>
                <w:iCs/>
                <w:sz w:val="18"/>
                <w:szCs w:val="18"/>
              </w:rPr>
              <w:t xml:space="preserve">and whether any external service providers </w:t>
            </w:r>
            <w:r w:rsidR="00D7623B" w:rsidRPr="00F23D78">
              <w:rPr>
                <w:rFonts w:ascii="Georgia" w:hAnsi="Georgia" w:cs="Arial"/>
                <w:i/>
                <w:iCs/>
                <w:sz w:val="18"/>
                <w:szCs w:val="18"/>
              </w:rPr>
              <w:t>joined the visit</w:t>
            </w:r>
            <w:r w:rsidRPr="00F23D78">
              <w:rPr>
                <w:rFonts w:ascii="Georgia" w:hAnsi="Georgia" w:cs="Arial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9A7162" w:rsidRPr="00F23D78" w14:paraId="1D49CB2A" w14:textId="77777777" w:rsidTr="00816BA9">
        <w:trPr>
          <w:cantSplit/>
          <w:trHeight w:val="566"/>
        </w:trPr>
        <w:tc>
          <w:tcPr>
            <w:tcW w:w="1343" w:type="pct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944DAB" w14:textId="079BED1E" w:rsidR="009A7162" w:rsidRPr="00F23D78" w:rsidRDefault="009A7162" w:rsidP="009A7162">
            <w:pPr>
              <w:rPr>
                <w:rFonts w:ascii="Georgia" w:hAnsi="Georgia" w:cs="Arial"/>
                <w:b/>
                <w:sz w:val="20"/>
                <w:szCs w:val="20"/>
              </w:rPr>
            </w:pPr>
            <w:r w:rsidRPr="00F23D78">
              <w:rPr>
                <w:rFonts w:ascii="Georgia" w:hAnsi="Georgia" w:cs="Arial"/>
                <w:b/>
                <w:sz w:val="20"/>
                <w:szCs w:val="20"/>
              </w:rPr>
              <w:t>Site</w:t>
            </w:r>
            <w:r w:rsidR="007E3E26" w:rsidRPr="00F23D78">
              <w:rPr>
                <w:rFonts w:ascii="Georgia" w:hAnsi="Georgia" w:cs="Arial"/>
                <w:b/>
                <w:sz w:val="20"/>
                <w:szCs w:val="20"/>
              </w:rPr>
              <w:t>(</w:t>
            </w:r>
            <w:r w:rsidRPr="00F23D78">
              <w:rPr>
                <w:rFonts w:ascii="Georgia" w:hAnsi="Georgia" w:cs="Arial"/>
                <w:b/>
                <w:sz w:val="20"/>
                <w:szCs w:val="20"/>
              </w:rPr>
              <w:t>s</w:t>
            </w:r>
            <w:r w:rsidR="007E3E26" w:rsidRPr="00F23D78">
              <w:rPr>
                <w:rFonts w:ascii="Georgia" w:hAnsi="Georgia" w:cs="Arial"/>
                <w:b/>
                <w:sz w:val="20"/>
                <w:szCs w:val="20"/>
              </w:rPr>
              <w:t>)</w:t>
            </w:r>
            <w:r w:rsidRPr="00F23D78">
              <w:rPr>
                <w:rFonts w:ascii="Georgia" w:hAnsi="Georgia" w:cs="Arial"/>
                <w:b/>
                <w:sz w:val="20"/>
                <w:szCs w:val="20"/>
              </w:rPr>
              <w:t xml:space="preserve"> </w:t>
            </w:r>
            <w:r w:rsidR="00302102" w:rsidRPr="00F23D78">
              <w:rPr>
                <w:rFonts w:ascii="Georgia" w:hAnsi="Georgia" w:cs="Arial"/>
                <w:b/>
                <w:sz w:val="20"/>
                <w:szCs w:val="20"/>
              </w:rPr>
              <w:t>Visited</w:t>
            </w:r>
            <w:r w:rsidRPr="00F23D78">
              <w:rPr>
                <w:rFonts w:ascii="Georgia" w:hAnsi="Georgia" w:cs="Arial"/>
                <w:b/>
                <w:sz w:val="20"/>
                <w:szCs w:val="20"/>
              </w:rPr>
              <w:t>:</w:t>
            </w:r>
          </w:p>
        </w:tc>
        <w:tc>
          <w:tcPr>
            <w:tcW w:w="3657" w:type="pct"/>
            <w:tcBorders>
              <w:bottom w:val="single" w:sz="4" w:space="0" w:color="auto"/>
            </w:tcBorders>
            <w:vAlign w:val="center"/>
          </w:tcPr>
          <w:p w14:paraId="0E744362" w14:textId="6E7E3CB7" w:rsidR="009A7162" w:rsidRPr="00F23D78" w:rsidRDefault="009A7162" w:rsidP="009A7162">
            <w:pPr>
              <w:rPr>
                <w:rFonts w:ascii="Georgia" w:hAnsi="Georgia" w:cs="Arial"/>
                <w:i/>
                <w:iCs/>
                <w:sz w:val="18"/>
                <w:szCs w:val="18"/>
              </w:rPr>
            </w:pPr>
            <w:r w:rsidRPr="00F23D78">
              <w:rPr>
                <w:rFonts w:ascii="Georgia" w:hAnsi="Georgia" w:cs="Arial"/>
                <w:i/>
                <w:iCs/>
                <w:sz w:val="18"/>
                <w:szCs w:val="18"/>
              </w:rPr>
              <w:t>List the sites visited includ</w:t>
            </w:r>
            <w:r w:rsidR="00302102" w:rsidRPr="00F23D78">
              <w:rPr>
                <w:rFonts w:ascii="Georgia" w:hAnsi="Georgia" w:cs="Arial"/>
                <w:i/>
                <w:iCs/>
                <w:sz w:val="18"/>
                <w:szCs w:val="18"/>
              </w:rPr>
              <w:t>ing</w:t>
            </w:r>
            <w:r w:rsidR="00E6041B" w:rsidRPr="00F23D78">
              <w:rPr>
                <w:rFonts w:ascii="Georgia" w:hAnsi="Georgia" w:cs="Arial"/>
                <w:i/>
                <w:iCs/>
                <w:sz w:val="18"/>
                <w:szCs w:val="18"/>
              </w:rPr>
              <w:t xml:space="preserve"> location, </w:t>
            </w:r>
            <w:r w:rsidRPr="00F23D78">
              <w:rPr>
                <w:rFonts w:ascii="Georgia" w:hAnsi="Georgia" w:cs="Arial"/>
                <w:i/>
                <w:iCs/>
                <w:sz w:val="18"/>
                <w:szCs w:val="18"/>
              </w:rPr>
              <w:t>short description of its operations and activities, areas</w:t>
            </w:r>
            <w:r w:rsidR="00E6041B" w:rsidRPr="00F23D78">
              <w:rPr>
                <w:rFonts w:ascii="Georgia" w:hAnsi="Georgia" w:cs="Arial"/>
                <w:i/>
                <w:iCs/>
                <w:sz w:val="18"/>
                <w:szCs w:val="18"/>
              </w:rPr>
              <w:t xml:space="preserve"> of the sites</w:t>
            </w:r>
            <w:r w:rsidRPr="00F23D78">
              <w:rPr>
                <w:rFonts w:ascii="Georgia" w:hAnsi="Georgia" w:cs="Arial"/>
                <w:i/>
                <w:iCs/>
                <w:sz w:val="18"/>
                <w:szCs w:val="18"/>
              </w:rPr>
              <w:t xml:space="preserve"> visited</w:t>
            </w:r>
            <w:r w:rsidR="00302102" w:rsidRPr="00F23D78">
              <w:rPr>
                <w:rFonts w:ascii="Georgia" w:hAnsi="Georgia" w:cs="Arial"/>
                <w:i/>
                <w:iCs/>
                <w:sz w:val="18"/>
                <w:szCs w:val="18"/>
              </w:rPr>
              <w:t xml:space="preserve">, etc. </w:t>
            </w:r>
          </w:p>
        </w:tc>
      </w:tr>
      <w:tr w:rsidR="009A7162" w:rsidRPr="00F23D78" w14:paraId="1071FB0B" w14:textId="77777777" w:rsidTr="00816BA9">
        <w:trPr>
          <w:cantSplit/>
          <w:trHeight w:val="699"/>
        </w:trPr>
        <w:tc>
          <w:tcPr>
            <w:tcW w:w="1343" w:type="pct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C8E049" w14:textId="68BF0CF3" w:rsidR="009A7162" w:rsidRPr="00F23D78" w:rsidRDefault="00221C97" w:rsidP="009A7162">
            <w:pPr>
              <w:rPr>
                <w:rFonts w:ascii="Georgia" w:hAnsi="Georgia" w:cs="Arial"/>
                <w:b/>
                <w:sz w:val="20"/>
                <w:szCs w:val="20"/>
              </w:rPr>
            </w:pPr>
            <w:r w:rsidRPr="00F23D78">
              <w:rPr>
                <w:rFonts w:ascii="Georgia" w:hAnsi="Georgia" w:cs="Arial"/>
                <w:b/>
                <w:sz w:val="20"/>
                <w:szCs w:val="20"/>
              </w:rPr>
              <w:t>Inter</w:t>
            </w:r>
            <w:r w:rsidR="007E3E26" w:rsidRPr="00F23D78">
              <w:rPr>
                <w:rFonts w:ascii="Georgia" w:hAnsi="Georgia" w:cs="Arial"/>
                <w:b/>
                <w:sz w:val="20"/>
                <w:szCs w:val="20"/>
              </w:rPr>
              <w:t>/</w:t>
            </w:r>
            <w:r w:rsidRPr="00F23D78">
              <w:rPr>
                <w:rFonts w:ascii="Georgia" w:hAnsi="Georgia" w:cs="Arial"/>
                <w:b/>
                <w:sz w:val="20"/>
                <w:szCs w:val="20"/>
              </w:rPr>
              <w:t>view</w:t>
            </w:r>
            <w:r w:rsidR="007E3E26" w:rsidRPr="00F23D78">
              <w:rPr>
                <w:rFonts w:ascii="Georgia" w:hAnsi="Georgia" w:cs="Arial"/>
                <w:b/>
                <w:sz w:val="20"/>
                <w:szCs w:val="20"/>
              </w:rPr>
              <w:t>(</w:t>
            </w:r>
            <w:r w:rsidRPr="00F23D78">
              <w:rPr>
                <w:rFonts w:ascii="Georgia" w:hAnsi="Georgia" w:cs="Arial"/>
                <w:b/>
                <w:sz w:val="20"/>
                <w:szCs w:val="20"/>
              </w:rPr>
              <w:t>s</w:t>
            </w:r>
            <w:r w:rsidR="007E3E26" w:rsidRPr="00F23D78">
              <w:rPr>
                <w:rFonts w:ascii="Georgia" w:hAnsi="Georgia" w:cs="Arial"/>
                <w:b/>
                <w:sz w:val="20"/>
                <w:szCs w:val="20"/>
              </w:rPr>
              <w:t>)</w:t>
            </w:r>
            <w:r w:rsidR="00D953E2" w:rsidRPr="00F23D78">
              <w:rPr>
                <w:rFonts w:ascii="Georgia" w:hAnsi="Georgia" w:cs="Arial"/>
                <w:b/>
                <w:sz w:val="20"/>
                <w:szCs w:val="20"/>
              </w:rPr>
              <w:t>:</w:t>
            </w:r>
          </w:p>
        </w:tc>
        <w:tc>
          <w:tcPr>
            <w:tcW w:w="3657" w:type="pct"/>
            <w:tcBorders>
              <w:bottom w:val="single" w:sz="4" w:space="0" w:color="auto"/>
            </w:tcBorders>
            <w:vAlign w:val="center"/>
          </w:tcPr>
          <w:p w14:paraId="05510679" w14:textId="62D96420" w:rsidR="009A7162" w:rsidRPr="00F23D78" w:rsidRDefault="009A7162" w:rsidP="008C5AD9">
            <w:pPr>
              <w:rPr>
                <w:rFonts w:ascii="Georgia" w:hAnsi="Georgia" w:cs="Arial"/>
                <w:i/>
                <w:iCs/>
                <w:sz w:val="18"/>
                <w:szCs w:val="18"/>
              </w:rPr>
            </w:pPr>
            <w:r w:rsidRPr="00F23D78">
              <w:rPr>
                <w:rFonts w:ascii="Georgia" w:hAnsi="Georgia" w:cs="Arial"/>
                <w:i/>
                <w:iCs/>
                <w:sz w:val="18"/>
                <w:szCs w:val="18"/>
              </w:rPr>
              <w:t xml:space="preserve">List </w:t>
            </w:r>
            <w:r w:rsidR="00221C97" w:rsidRPr="00F23D78">
              <w:rPr>
                <w:rFonts w:ascii="Georgia" w:hAnsi="Georgia" w:cs="Arial"/>
                <w:i/>
                <w:iCs/>
                <w:sz w:val="18"/>
                <w:szCs w:val="18"/>
              </w:rPr>
              <w:t>any site</w:t>
            </w:r>
            <w:r w:rsidRPr="00F23D78">
              <w:rPr>
                <w:rFonts w:ascii="Georgia" w:hAnsi="Georgia" w:cs="Arial"/>
                <w:i/>
                <w:iCs/>
                <w:sz w:val="18"/>
                <w:szCs w:val="18"/>
              </w:rPr>
              <w:t xml:space="preserve"> personnel interviewed or engaged</w:t>
            </w:r>
            <w:r w:rsidR="00221C97" w:rsidRPr="00F23D78">
              <w:rPr>
                <w:rFonts w:ascii="Georgia" w:hAnsi="Georgia" w:cs="Arial"/>
                <w:i/>
                <w:iCs/>
                <w:sz w:val="18"/>
                <w:szCs w:val="18"/>
              </w:rPr>
              <w:t xml:space="preserve"> with (</w:t>
            </w:r>
            <w:r w:rsidR="00A36D94" w:rsidRPr="00F23D78">
              <w:rPr>
                <w:rFonts w:ascii="Georgia" w:hAnsi="Georgia" w:cs="Arial"/>
                <w:i/>
                <w:iCs/>
                <w:sz w:val="18"/>
                <w:szCs w:val="18"/>
              </w:rPr>
              <w:t>i.e.,</w:t>
            </w:r>
            <w:r w:rsidRPr="00F23D78">
              <w:rPr>
                <w:rFonts w:ascii="Georgia" w:hAnsi="Georgia" w:cs="Arial"/>
                <w:i/>
                <w:iCs/>
                <w:sz w:val="18"/>
                <w:szCs w:val="18"/>
              </w:rPr>
              <w:t xml:space="preserve"> ESHS </w:t>
            </w:r>
            <w:r w:rsidR="00221C97" w:rsidRPr="00F23D78">
              <w:rPr>
                <w:rFonts w:ascii="Georgia" w:hAnsi="Georgia" w:cs="Arial"/>
                <w:i/>
                <w:iCs/>
                <w:sz w:val="18"/>
                <w:szCs w:val="18"/>
              </w:rPr>
              <w:t>officer and representatives</w:t>
            </w:r>
            <w:r w:rsidRPr="00F23D78">
              <w:rPr>
                <w:rFonts w:ascii="Georgia" w:hAnsi="Georgia" w:cs="Arial"/>
                <w:i/>
                <w:iCs/>
                <w:sz w:val="18"/>
                <w:szCs w:val="18"/>
              </w:rPr>
              <w:t xml:space="preserve">, </w:t>
            </w:r>
            <w:r w:rsidR="00221C97" w:rsidRPr="00F23D78">
              <w:rPr>
                <w:rFonts w:ascii="Georgia" w:hAnsi="Georgia" w:cs="Arial"/>
                <w:i/>
                <w:iCs/>
                <w:sz w:val="18"/>
                <w:szCs w:val="18"/>
              </w:rPr>
              <w:t>human resources manager, head of operations</w:t>
            </w:r>
            <w:r w:rsidRPr="00F23D78">
              <w:rPr>
                <w:rFonts w:ascii="Georgia" w:hAnsi="Georgia" w:cs="Arial"/>
                <w:i/>
                <w:iCs/>
                <w:sz w:val="18"/>
                <w:szCs w:val="18"/>
              </w:rPr>
              <w:t xml:space="preserve">, </w:t>
            </w:r>
            <w:r w:rsidR="00221C97" w:rsidRPr="00F23D78">
              <w:rPr>
                <w:rFonts w:ascii="Georgia" w:hAnsi="Georgia" w:cs="Arial"/>
                <w:i/>
                <w:iCs/>
                <w:sz w:val="18"/>
                <w:szCs w:val="18"/>
              </w:rPr>
              <w:t>stakeholder relations manager, workers</w:t>
            </w:r>
            <w:r w:rsidRPr="00F23D78">
              <w:rPr>
                <w:rFonts w:ascii="Georgia" w:hAnsi="Georgia" w:cs="Arial"/>
                <w:i/>
                <w:iCs/>
                <w:sz w:val="18"/>
                <w:szCs w:val="18"/>
              </w:rPr>
              <w:t>, etc</w:t>
            </w:r>
            <w:r w:rsidR="00221C97" w:rsidRPr="00F23D78">
              <w:rPr>
                <w:rFonts w:ascii="Georgia" w:hAnsi="Georgia" w:cs="Arial"/>
                <w:i/>
                <w:iCs/>
                <w:sz w:val="18"/>
                <w:szCs w:val="18"/>
              </w:rPr>
              <w:t xml:space="preserve">). </w:t>
            </w:r>
          </w:p>
        </w:tc>
      </w:tr>
      <w:tr w:rsidR="009A7162" w:rsidRPr="00F23D78" w14:paraId="63648D46" w14:textId="2A45F464" w:rsidTr="00816BA9">
        <w:trPr>
          <w:cantSplit/>
          <w:trHeight w:val="283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6D9F1"/>
            <w:vAlign w:val="center"/>
          </w:tcPr>
          <w:p w14:paraId="58BD743F" w14:textId="7CE16689" w:rsidR="009A7162" w:rsidRPr="00F23D78" w:rsidRDefault="009A7162" w:rsidP="00FC1BCB">
            <w:pPr>
              <w:keepNext/>
              <w:rPr>
                <w:rFonts w:ascii="Georgia" w:hAnsi="Georgia" w:cs="Arial"/>
                <w:bCs/>
                <w:i/>
                <w:iCs/>
                <w:sz w:val="20"/>
                <w:szCs w:val="20"/>
              </w:rPr>
            </w:pPr>
            <w:r w:rsidRPr="00F23D78">
              <w:rPr>
                <w:rFonts w:ascii="Georgia" w:hAnsi="Georgia" w:cs="Arial"/>
                <w:b/>
                <w:sz w:val="20"/>
                <w:szCs w:val="20"/>
              </w:rPr>
              <w:lastRenderedPageBreak/>
              <w:t>Summary of E&amp;S Site Visit Findings</w:t>
            </w:r>
          </w:p>
        </w:tc>
      </w:tr>
      <w:tr w:rsidR="00851967" w:rsidRPr="00F23D78" w14:paraId="02D5ECB4" w14:textId="77777777" w:rsidTr="00816BA9">
        <w:trPr>
          <w:cantSplit/>
          <w:trHeight w:val="1047"/>
        </w:trPr>
        <w:tc>
          <w:tcPr>
            <w:tcW w:w="1336" w:type="pct"/>
            <w:shd w:val="clear" w:color="auto" w:fill="F2F2F2" w:themeFill="background1" w:themeFillShade="F2"/>
            <w:vAlign w:val="center"/>
          </w:tcPr>
          <w:p w14:paraId="1979191C" w14:textId="383FC13C" w:rsidR="00851967" w:rsidRPr="00F23D78" w:rsidRDefault="00851967" w:rsidP="00FC1BCB">
            <w:pPr>
              <w:keepNext/>
              <w:rPr>
                <w:rFonts w:ascii="Georgia" w:hAnsi="Georgia" w:cs="Arial"/>
                <w:b/>
                <w:bCs/>
                <w:sz w:val="20"/>
                <w:szCs w:val="20"/>
              </w:rPr>
            </w:pPr>
            <w:r w:rsidRPr="00F23D78">
              <w:rPr>
                <w:rFonts w:ascii="Georgia" w:hAnsi="Georgia" w:cs="Arial"/>
                <w:b/>
                <w:bCs/>
                <w:sz w:val="20"/>
                <w:szCs w:val="20"/>
              </w:rPr>
              <w:t>General Summary</w:t>
            </w:r>
          </w:p>
        </w:tc>
        <w:tc>
          <w:tcPr>
            <w:tcW w:w="3664" w:type="pct"/>
            <w:gridSpan w:val="2"/>
            <w:shd w:val="clear" w:color="auto" w:fill="FFFFFF" w:themeFill="background1"/>
            <w:vAlign w:val="center"/>
          </w:tcPr>
          <w:p w14:paraId="55C50822" w14:textId="594D2AAC" w:rsidR="00851967" w:rsidRPr="00F23D78" w:rsidRDefault="001A2937" w:rsidP="00716311">
            <w:pPr>
              <w:keepNext/>
              <w:rPr>
                <w:rFonts w:ascii="Georgia" w:hAnsi="Georgia" w:cs="Arial"/>
                <w:i/>
                <w:iCs/>
                <w:sz w:val="18"/>
                <w:szCs w:val="18"/>
              </w:rPr>
            </w:pPr>
            <w:r w:rsidRPr="00F23D78">
              <w:rPr>
                <w:rFonts w:ascii="Georgia" w:hAnsi="Georgia" w:cs="Arial"/>
                <w:i/>
                <w:iCs/>
                <w:sz w:val="18"/>
                <w:szCs w:val="18"/>
              </w:rPr>
              <w:t>Include a summary of key site visit findings</w:t>
            </w:r>
            <w:r w:rsidR="00716311" w:rsidRPr="00F23D78">
              <w:rPr>
                <w:rFonts w:ascii="Georgia" w:hAnsi="Georgia" w:cs="Arial"/>
                <w:i/>
                <w:iCs/>
                <w:sz w:val="18"/>
                <w:szCs w:val="18"/>
              </w:rPr>
              <w:t>.</w:t>
            </w:r>
          </w:p>
        </w:tc>
      </w:tr>
      <w:tr w:rsidR="007A34C6" w:rsidRPr="00F23D78" w14:paraId="0A2B12C7" w14:textId="77777777" w:rsidTr="00816BA9">
        <w:trPr>
          <w:cantSplit/>
          <w:trHeight w:val="1047"/>
        </w:trPr>
        <w:tc>
          <w:tcPr>
            <w:tcW w:w="1336" w:type="pct"/>
            <w:shd w:val="clear" w:color="auto" w:fill="F2F2F2" w:themeFill="background1" w:themeFillShade="F2"/>
            <w:vAlign w:val="center"/>
          </w:tcPr>
          <w:p w14:paraId="047791A7" w14:textId="7F8DA834" w:rsidR="009A7162" w:rsidRPr="00F23D78" w:rsidRDefault="0069442A" w:rsidP="00FC1BCB">
            <w:pPr>
              <w:keepNext/>
              <w:rPr>
                <w:rFonts w:ascii="Georgia" w:hAnsi="Georgia" w:cs="Arial"/>
                <w:b/>
                <w:bCs/>
                <w:sz w:val="20"/>
                <w:szCs w:val="20"/>
              </w:rPr>
            </w:pPr>
            <w:r w:rsidRPr="00F23D78">
              <w:rPr>
                <w:rFonts w:ascii="Georgia" w:hAnsi="Georgia" w:cs="Arial"/>
                <w:b/>
                <w:bCs/>
                <w:sz w:val="20"/>
                <w:szCs w:val="20"/>
              </w:rPr>
              <w:t xml:space="preserve">New or Existing </w:t>
            </w:r>
            <w:r w:rsidR="00642B9F" w:rsidRPr="00F23D78">
              <w:rPr>
                <w:rFonts w:ascii="Georgia" w:hAnsi="Georgia" w:cs="Arial"/>
                <w:b/>
                <w:bCs/>
                <w:sz w:val="20"/>
                <w:szCs w:val="20"/>
              </w:rPr>
              <w:t>E</w:t>
            </w:r>
            <w:r w:rsidR="009A7162" w:rsidRPr="00F23D78">
              <w:rPr>
                <w:rFonts w:ascii="Georgia" w:hAnsi="Georgia" w:cs="Arial"/>
                <w:b/>
                <w:bCs/>
                <w:sz w:val="20"/>
                <w:szCs w:val="20"/>
              </w:rPr>
              <w:t>&amp;</w:t>
            </w:r>
            <w:r w:rsidR="00642B9F" w:rsidRPr="00F23D78">
              <w:rPr>
                <w:rFonts w:ascii="Georgia" w:hAnsi="Georgia" w:cs="Arial"/>
                <w:b/>
                <w:bCs/>
                <w:sz w:val="20"/>
                <w:szCs w:val="20"/>
              </w:rPr>
              <w:t>S</w:t>
            </w:r>
            <w:r w:rsidR="009A7162" w:rsidRPr="00F23D78">
              <w:rPr>
                <w:rFonts w:ascii="Georgia" w:hAnsi="Georgia" w:cs="Arial"/>
                <w:b/>
                <w:bCs/>
                <w:sz w:val="20"/>
                <w:szCs w:val="20"/>
              </w:rPr>
              <w:t xml:space="preserve"> </w:t>
            </w:r>
            <w:r w:rsidR="00642B9F" w:rsidRPr="00F23D78">
              <w:rPr>
                <w:rFonts w:ascii="Georgia" w:hAnsi="Georgia" w:cs="Arial"/>
                <w:b/>
                <w:bCs/>
                <w:sz w:val="20"/>
                <w:szCs w:val="20"/>
              </w:rPr>
              <w:t>Risk Exposu</w:t>
            </w:r>
            <w:r w:rsidR="009A7162" w:rsidRPr="00F23D78">
              <w:rPr>
                <w:rFonts w:ascii="Georgia" w:hAnsi="Georgia" w:cs="Arial"/>
                <w:b/>
                <w:bCs/>
                <w:sz w:val="20"/>
                <w:szCs w:val="20"/>
              </w:rPr>
              <w:t>re</w:t>
            </w:r>
            <w:r w:rsidR="00071D27" w:rsidRPr="00F23D78">
              <w:rPr>
                <w:rFonts w:ascii="Georgia" w:hAnsi="Georgia" w:cs="Arial"/>
                <w:b/>
                <w:bCs/>
                <w:sz w:val="20"/>
                <w:szCs w:val="20"/>
              </w:rPr>
              <w:t>s</w:t>
            </w:r>
            <w:r w:rsidR="009A7162" w:rsidRPr="00F23D78">
              <w:rPr>
                <w:rFonts w:ascii="Georgia" w:hAnsi="Georgia" w:cs="Arial"/>
                <w:b/>
                <w:bCs/>
                <w:sz w:val="20"/>
                <w:szCs w:val="20"/>
              </w:rPr>
              <w:t xml:space="preserve"> </w:t>
            </w:r>
            <w:r w:rsidR="00851967" w:rsidRPr="00F23D78">
              <w:rPr>
                <w:rFonts w:ascii="Georgia" w:hAnsi="Georgia" w:cs="Arial"/>
                <w:b/>
                <w:bCs/>
                <w:sz w:val="20"/>
                <w:szCs w:val="20"/>
              </w:rPr>
              <w:t>(</w:t>
            </w:r>
            <w:r w:rsidR="001A2937" w:rsidRPr="00F23D78">
              <w:rPr>
                <w:rFonts w:ascii="Georgia" w:hAnsi="Georgia" w:cs="Arial"/>
                <w:b/>
                <w:bCs/>
                <w:sz w:val="20"/>
                <w:szCs w:val="20"/>
              </w:rPr>
              <w:t>M</w:t>
            </w:r>
            <w:r w:rsidR="00851967" w:rsidRPr="00F23D78">
              <w:rPr>
                <w:rFonts w:ascii="Georgia" w:hAnsi="Georgia" w:cs="Arial"/>
                <w:b/>
                <w:bCs/>
                <w:sz w:val="20"/>
                <w:szCs w:val="20"/>
              </w:rPr>
              <w:t>onitoring</w:t>
            </w:r>
            <w:r w:rsidR="001A2937" w:rsidRPr="00F23D78">
              <w:rPr>
                <w:rFonts w:ascii="Georgia" w:hAnsi="Georgia" w:cs="Arial"/>
                <w:b/>
                <w:bCs/>
                <w:sz w:val="20"/>
                <w:szCs w:val="20"/>
              </w:rPr>
              <w:t xml:space="preserve"> visit</w:t>
            </w:r>
            <w:r w:rsidR="00851967" w:rsidRPr="00F23D78">
              <w:rPr>
                <w:rFonts w:ascii="Georgia" w:hAnsi="Georgia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664" w:type="pct"/>
            <w:gridSpan w:val="2"/>
            <w:shd w:val="clear" w:color="auto" w:fill="FFFFFF" w:themeFill="background1"/>
            <w:vAlign w:val="center"/>
          </w:tcPr>
          <w:p w14:paraId="7A1B7381" w14:textId="35666A89" w:rsidR="00E059D9" w:rsidRPr="00F23D78" w:rsidRDefault="009A7162" w:rsidP="00047CBD">
            <w:pPr>
              <w:keepNext/>
              <w:rPr>
                <w:rFonts w:ascii="Georgia" w:hAnsi="Georgia" w:cs="Arial"/>
                <w:i/>
                <w:iCs/>
                <w:sz w:val="18"/>
                <w:szCs w:val="18"/>
              </w:rPr>
            </w:pPr>
            <w:r w:rsidRPr="00F23D78">
              <w:rPr>
                <w:rFonts w:ascii="Georgia" w:hAnsi="Georgia" w:cs="Arial"/>
                <w:i/>
                <w:iCs/>
                <w:sz w:val="18"/>
                <w:szCs w:val="18"/>
              </w:rPr>
              <w:t xml:space="preserve">Review whether there </w:t>
            </w:r>
            <w:r w:rsidR="00047CBD" w:rsidRPr="00F23D78">
              <w:rPr>
                <w:rFonts w:ascii="Georgia" w:hAnsi="Georgia" w:cs="Arial"/>
                <w:i/>
                <w:iCs/>
                <w:sz w:val="18"/>
                <w:szCs w:val="18"/>
              </w:rPr>
              <w:t xml:space="preserve">have </w:t>
            </w:r>
            <w:r w:rsidRPr="00F23D78">
              <w:rPr>
                <w:rFonts w:ascii="Georgia" w:hAnsi="Georgia" w:cs="Arial"/>
                <w:i/>
                <w:iCs/>
                <w:sz w:val="18"/>
                <w:szCs w:val="18"/>
              </w:rPr>
              <w:t xml:space="preserve">been any significant changes </w:t>
            </w:r>
            <w:r w:rsidR="009A38F3" w:rsidRPr="00F23D78">
              <w:rPr>
                <w:rFonts w:ascii="Georgia" w:hAnsi="Georgia" w:cs="Arial"/>
                <w:i/>
                <w:iCs/>
                <w:sz w:val="18"/>
                <w:szCs w:val="18"/>
              </w:rPr>
              <w:t xml:space="preserve">and / or new E&amp;S risk exposures </w:t>
            </w:r>
            <w:r w:rsidRPr="00F23D78">
              <w:rPr>
                <w:rFonts w:ascii="Georgia" w:hAnsi="Georgia" w:cs="Arial"/>
                <w:i/>
                <w:iCs/>
                <w:sz w:val="18"/>
                <w:szCs w:val="18"/>
              </w:rPr>
              <w:t xml:space="preserve">since the last </w:t>
            </w:r>
            <w:r w:rsidR="00D111D6" w:rsidRPr="00F23D78">
              <w:rPr>
                <w:rFonts w:ascii="Georgia" w:hAnsi="Georgia" w:cs="Arial"/>
                <w:i/>
                <w:iCs/>
                <w:sz w:val="18"/>
                <w:szCs w:val="18"/>
              </w:rPr>
              <w:t xml:space="preserve">site </w:t>
            </w:r>
            <w:r w:rsidRPr="00F23D78">
              <w:rPr>
                <w:rFonts w:ascii="Georgia" w:hAnsi="Georgia" w:cs="Arial"/>
                <w:i/>
                <w:iCs/>
                <w:sz w:val="18"/>
                <w:szCs w:val="18"/>
              </w:rPr>
              <w:t>visit</w:t>
            </w:r>
            <w:r w:rsidR="00047CBD" w:rsidRPr="00F23D78">
              <w:rPr>
                <w:rFonts w:ascii="Georgia" w:hAnsi="Georgia" w:cs="Arial"/>
                <w:i/>
                <w:iCs/>
                <w:sz w:val="18"/>
                <w:szCs w:val="18"/>
              </w:rPr>
              <w:t>. This may include an</w:t>
            </w:r>
            <w:r w:rsidR="009A38F3" w:rsidRPr="00F23D78">
              <w:rPr>
                <w:rFonts w:ascii="Georgia" w:hAnsi="Georgia" w:cs="Arial"/>
                <w:i/>
                <w:iCs/>
                <w:sz w:val="18"/>
                <w:szCs w:val="18"/>
              </w:rPr>
              <w:t xml:space="preserve"> </w:t>
            </w:r>
            <w:r w:rsidR="00D111D6" w:rsidRPr="00F23D78">
              <w:rPr>
                <w:rFonts w:ascii="Georgia" w:hAnsi="Georgia" w:cs="Arial"/>
                <w:i/>
                <w:iCs/>
                <w:sz w:val="18"/>
                <w:szCs w:val="18"/>
              </w:rPr>
              <w:t>increase</w:t>
            </w:r>
            <w:r w:rsidRPr="00F23D78">
              <w:rPr>
                <w:rFonts w:ascii="Georgia" w:hAnsi="Georgia" w:cs="Arial"/>
                <w:i/>
                <w:iCs/>
                <w:sz w:val="18"/>
                <w:szCs w:val="18"/>
              </w:rPr>
              <w:t xml:space="preserve"> or reduction in production, staff changes, relocation, new permits, new organisational structure, new regulations, </w:t>
            </w:r>
            <w:r w:rsidR="003B0F9F" w:rsidRPr="00F23D78">
              <w:rPr>
                <w:rFonts w:ascii="Georgia" w:hAnsi="Georgia" w:cs="Arial"/>
                <w:i/>
                <w:iCs/>
                <w:sz w:val="18"/>
                <w:szCs w:val="18"/>
              </w:rPr>
              <w:t xml:space="preserve">constructional expansion projects, </w:t>
            </w:r>
            <w:r w:rsidRPr="00F23D78">
              <w:rPr>
                <w:rFonts w:ascii="Georgia" w:hAnsi="Georgia" w:cs="Arial"/>
                <w:i/>
                <w:iCs/>
                <w:sz w:val="18"/>
                <w:szCs w:val="18"/>
              </w:rPr>
              <w:t>etc.</w:t>
            </w:r>
            <w:r w:rsidR="002529DE" w:rsidRPr="00F23D78">
              <w:rPr>
                <w:rFonts w:ascii="Georgia" w:hAnsi="Georgia" w:cs="Arial"/>
                <w:i/>
                <w:iCs/>
                <w:sz w:val="18"/>
                <w:szCs w:val="18"/>
              </w:rPr>
              <w:t xml:space="preserve"> </w:t>
            </w:r>
            <w:r w:rsidR="006C6AE4" w:rsidRPr="00F23D78">
              <w:rPr>
                <w:rFonts w:ascii="Georgia" w:hAnsi="Georgia" w:cs="Arial"/>
                <w:i/>
                <w:iCs/>
                <w:sz w:val="18"/>
                <w:szCs w:val="18"/>
              </w:rPr>
              <w:t>Tip: The FI should confirm</w:t>
            </w:r>
            <w:r w:rsidR="00D9420A" w:rsidRPr="00F23D78">
              <w:rPr>
                <w:rFonts w:ascii="Georgia" w:hAnsi="Georgia" w:cs="Arial"/>
                <w:i/>
                <w:iCs/>
                <w:sz w:val="18"/>
                <w:szCs w:val="18"/>
              </w:rPr>
              <w:t xml:space="preserve"> that</w:t>
            </w:r>
            <w:r w:rsidR="006C6AE4" w:rsidRPr="00F23D78">
              <w:rPr>
                <w:rFonts w:ascii="Georgia" w:hAnsi="Georgia" w:cs="Arial"/>
                <w:i/>
                <w:iCs/>
                <w:sz w:val="18"/>
                <w:szCs w:val="18"/>
              </w:rPr>
              <w:t xml:space="preserve"> the E&amp;S risk category is still reflective of the level of risk exposure and amend accordingly. </w:t>
            </w:r>
          </w:p>
        </w:tc>
      </w:tr>
      <w:tr w:rsidR="007A34C6" w:rsidRPr="00F23D78" w14:paraId="7988F954" w14:textId="77777777" w:rsidTr="007E3E26">
        <w:trPr>
          <w:cantSplit/>
          <w:trHeight w:val="1753"/>
        </w:trPr>
        <w:tc>
          <w:tcPr>
            <w:tcW w:w="1336" w:type="pct"/>
            <w:shd w:val="clear" w:color="auto" w:fill="F2F2F2" w:themeFill="background1" w:themeFillShade="F2"/>
            <w:vAlign w:val="center"/>
          </w:tcPr>
          <w:p w14:paraId="5A6CC9EE" w14:textId="0016CD7E" w:rsidR="009A7162" w:rsidRPr="00F23D78" w:rsidRDefault="001A2937" w:rsidP="00FC1BCB">
            <w:pPr>
              <w:keepNext/>
              <w:rPr>
                <w:rFonts w:ascii="Georgia" w:hAnsi="Georgia" w:cs="Arial"/>
                <w:b/>
                <w:bCs/>
                <w:sz w:val="20"/>
                <w:szCs w:val="20"/>
              </w:rPr>
            </w:pPr>
            <w:r w:rsidRPr="00F23D78">
              <w:rPr>
                <w:rFonts w:ascii="Georgia" w:hAnsi="Georgia" w:cs="Arial"/>
                <w:b/>
                <w:bCs/>
                <w:sz w:val="20"/>
                <w:szCs w:val="20"/>
              </w:rPr>
              <w:t xml:space="preserve">Corrective </w:t>
            </w:r>
            <w:r w:rsidR="009A7162" w:rsidRPr="00F23D78">
              <w:rPr>
                <w:rFonts w:ascii="Georgia" w:hAnsi="Georgia" w:cs="Arial"/>
                <w:b/>
                <w:bCs/>
                <w:sz w:val="20"/>
                <w:szCs w:val="20"/>
              </w:rPr>
              <w:t xml:space="preserve">E&amp;S </w:t>
            </w:r>
            <w:r w:rsidR="0069442A" w:rsidRPr="00F23D78">
              <w:rPr>
                <w:rFonts w:ascii="Georgia" w:hAnsi="Georgia" w:cs="Arial"/>
                <w:b/>
                <w:bCs/>
                <w:sz w:val="20"/>
                <w:szCs w:val="20"/>
              </w:rPr>
              <w:t>Action</w:t>
            </w:r>
            <w:r w:rsidRPr="00F23D78">
              <w:rPr>
                <w:rFonts w:ascii="Georgia" w:hAnsi="Georgia" w:cs="Arial"/>
                <w:b/>
                <w:bCs/>
                <w:sz w:val="20"/>
                <w:szCs w:val="20"/>
              </w:rPr>
              <w:t>s or ESAP</w:t>
            </w:r>
            <w:r w:rsidR="0069442A" w:rsidRPr="00F23D78">
              <w:rPr>
                <w:rFonts w:ascii="Georgia" w:hAnsi="Georgia" w:cs="Arial"/>
                <w:b/>
                <w:bCs/>
                <w:sz w:val="20"/>
                <w:szCs w:val="20"/>
              </w:rPr>
              <w:t xml:space="preserve"> Progress</w:t>
            </w:r>
            <w:r w:rsidR="00144738" w:rsidRPr="00F23D78">
              <w:rPr>
                <w:rFonts w:ascii="Georgia" w:hAnsi="Georgia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664" w:type="pct"/>
            <w:gridSpan w:val="2"/>
            <w:shd w:val="clear" w:color="auto" w:fill="FFFFFF" w:themeFill="background1"/>
            <w:vAlign w:val="center"/>
          </w:tcPr>
          <w:p w14:paraId="05359B2C" w14:textId="77777777" w:rsidR="001A2937" w:rsidRPr="00F23D78" w:rsidRDefault="001A2937" w:rsidP="00AC6CE1">
            <w:pPr>
              <w:keepNext/>
              <w:rPr>
                <w:rFonts w:ascii="Georgia" w:hAnsi="Georgia" w:cs="Arial"/>
                <w:i/>
                <w:iCs/>
                <w:sz w:val="18"/>
                <w:szCs w:val="18"/>
              </w:rPr>
            </w:pPr>
          </w:p>
          <w:p w14:paraId="1E93AEF8" w14:textId="6BDC537B" w:rsidR="00716311" w:rsidRPr="00F23D78" w:rsidRDefault="00716311" w:rsidP="00716311">
            <w:pPr>
              <w:keepNext/>
              <w:rPr>
                <w:rFonts w:ascii="Georgia" w:hAnsi="Georgia" w:cs="Arial"/>
                <w:i/>
                <w:iCs/>
                <w:sz w:val="18"/>
                <w:szCs w:val="18"/>
              </w:rPr>
            </w:pPr>
            <w:r w:rsidRPr="00F23D78">
              <w:rPr>
                <w:rFonts w:ascii="Georgia" w:hAnsi="Georgia" w:cs="Arial"/>
                <w:i/>
                <w:iCs/>
                <w:sz w:val="18"/>
                <w:szCs w:val="18"/>
              </w:rPr>
              <w:t xml:space="preserve">List the actions identified during the site visit, to minimise the outstanding E&amp;S risks which will be included in the ESAP. This may include training, development of E&amp;S management procedures, implement physical controls, engage with specialists, etc. </w:t>
            </w:r>
          </w:p>
          <w:p w14:paraId="68364F12" w14:textId="77777777" w:rsidR="00716311" w:rsidRPr="00F23D78" w:rsidRDefault="00716311" w:rsidP="00AC6CE1">
            <w:pPr>
              <w:keepNext/>
              <w:rPr>
                <w:rFonts w:ascii="Georgia" w:hAnsi="Georgia" w:cs="Arial"/>
                <w:i/>
                <w:iCs/>
                <w:sz w:val="18"/>
                <w:szCs w:val="18"/>
              </w:rPr>
            </w:pPr>
          </w:p>
          <w:p w14:paraId="1A8BA015" w14:textId="0082F834" w:rsidR="002A0B91" w:rsidRPr="00F23D78" w:rsidRDefault="001A2937" w:rsidP="00AC6CE1">
            <w:pPr>
              <w:keepNext/>
              <w:rPr>
                <w:rFonts w:ascii="Georgia" w:hAnsi="Georgia" w:cs="Arial"/>
                <w:i/>
                <w:iCs/>
                <w:sz w:val="18"/>
                <w:szCs w:val="18"/>
              </w:rPr>
            </w:pPr>
            <w:r w:rsidRPr="00F23D78">
              <w:rPr>
                <w:rFonts w:ascii="Georgia" w:hAnsi="Georgia" w:cs="Arial"/>
                <w:i/>
                <w:iCs/>
                <w:sz w:val="18"/>
                <w:szCs w:val="18"/>
              </w:rPr>
              <w:t>For the monitoring stage, l</w:t>
            </w:r>
            <w:r w:rsidR="0069442A" w:rsidRPr="00F23D78">
              <w:rPr>
                <w:rFonts w:ascii="Georgia" w:hAnsi="Georgia" w:cs="Arial"/>
                <w:i/>
                <w:iCs/>
                <w:sz w:val="18"/>
                <w:szCs w:val="18"/>
              </w:rPr>
              <w:t>ist the actions implemented as defined in the Environmental and Social Action Plan (ESAP) of the transaction agreement. This includes assessing which action</w:t>
            </w:r>
            <w:r w:rsidR="000321C4" w:rsidRPr="00F23D78">
              <w:rPr>
                <w:rFonts w:ascii="Georgia" w:hAnsi="Georgia" w:cs="Arial"/>
                <w:i/>
                <w:iCs/>
                <w:sz w:val="18"/>
                <w:szCs w:val="18"/>
              </w:rPr>
              <w:t xml:space="preserve">s </w:t>
            </w:r>
            <w:r w:rsidR="0069442A" w:rsidRPr="00F23D78">
              <w:rPr>
                <w:rFonts w:ascii="Georgia" w:hAnsi="Georgia" w:cs="Arial"/>
                <w:i/>
                <w:iCs/>
                <w:sz w:val="18"/>
                <w:szCs w:val="18"/>
              </w:rPr>
              <w:t>are overdue</w:t>
            </w:r>
            <w:r w:rsidR="007E3E26" w:rsidRPr="00F23D78">
              <w:rPr>
                <w:rFonts w:ascii="Georgia" w:hAnsi="Georgia" w:cs="Arial"/>
                <w:i/>
                <w:iCs/>
                <w:sz w:val="18"/>
                <w:szCs w:val="18"/>
              </w:rPr>
              <w:t xml:space="preserve"> and </w:t>
            </w:r>
            <w:r w:rsidR="0069442A" w:rsidRPr="00F23D78">
              <w:rPr>
                <w:rFonts w:ascii="Georgia" w:hAnsi="Georgia" w:cs="Arial"/>
                <w:i/>
                <w:iCs/>
                <w:sz w:val="18"/>
                <w:szCs w:val="18"/>
              </w:rPr>
              <w:t>any exemptions or plans that have been instituted to address these outstanding items, etc. Tip: Site visits provide an opportunity for the FI to request / review any information / documentation that verifies the progress being achieved.</w:t>
            </w:r>
          </w:p>
        </w:tc>
      </w:tr>
      <w:tr w:rsidR="007A34C6" w:rsidRPr="00F23D78" w14:paraId="33583B70" w14:textId="77777777" w:rsidTr="00C23990">
        <w:trPr>
          <w:cantSplit/>
          <w:trHeight w:val="1550"/>
        </w:trPr>
        <w:tc>
          <w:tcPr>
            <w:tcW w:w="1336" w:type="pct"/>
            <w:shd w:val="clear" w:color="auto" w:fill="F2F2F2" w:themeFill="background1" w:themeFillShade="F2"/>
            <w:vAlign w:val="center"/>
          </w:tcPr>
          <w:p w14:paraId="0DF42AD7" w14:textId="1779080C" w:rsidR="009A7162" w:rsidRPr="00F23D78" w:rsidRDefault="009A7162" w:rsidP="00FC1BCB">
            <w:pPr>
              <w:keepNext/>
              <w:rPr>
                <w:rFonts w:ascii="Georgia" w:hAnsi="Georgia" w:cs="Arial"/>
                <w:b/>
                <w:bCs/>
                <w:sz w:val="20"/>
                <w:szCs w:val="20"/>
              </w:rPr>
            </w:pPr>
            <w:r w:rsidRPr="00F23D78">
              <w:rPr>
                <w:rFonts w:ascii="Georgia" w:hAnsi="Georgia" w:cs="Arial"/>
                <w:b/>
                <w:bCs/>
                <w:sz w:val="20"/>
                <w:szCs w:val="20"/>
              </w:rPr>
              <w:t xml:space="preserve">E&amp;S </w:t>
            </w:r>
            <w:r w:rsidR="00E36E98" w:rsidRPr="00F23D78">
              <w:rPr>
                <w:rFonts w:ascii="Georgia" w:hAnsi="Georgia" w:cs="Arial"/>
                <w:b/>
                <w:bCs/>
                <w:sz w:val="20"/>
                <w:szCs w:val="20"/>
              </w:rPr>
              <w:t xml:space="preserve">Incidents </w:t>
            </w:r>
            <w:r w:rsidR="001A2937" w:rsidRPr="00F23D78">
              <w:rPr>
                <w:rFonts w:ascii="Georgia" w:hAnsi="Georgia" w:cs="Arial"/>
                <w:b/>
                <w:bCs/>
                <w:sz w:val="20"/>
                <w:szCs w:val="20"/>
              </w:rPr>
              <w:t>(Monitoring visit)</w:t>
            </w:r>
          </w:p>
        </w:tc>
        <w:tc>
          <w:tcPr>
            <w:tcW w:w="3664" w:type="pct"/>
            <w:gridSpan w:val="2"/>
            <w:shd w:val="clear" w:color="auto" w:fill="FFFFFF" w:themeFill="background1"/>
            <w:vAlign w:val="center"/>
          </w:tcPr>
          <w:p w14:paraId="6B1C2F87" w14:textId="3B788D18" w:rsidR="009A7162" w:rsidRPr="00F23D78" w:rsidRDefault="00796988" w:rsidP="00047CBD">
            <w:pPr>
              <w:keepNext/>
              <w:rPr>
                <w:rFonts w:ascii="Georgia" w:hAnsi="Georgia" w:cs="Arial"/>
                <w:i/>
                <w:iCs/>
                <w:sz w:val="18"/>
                <w:szCs w:val="18"/>
              </w:rPr>
            </w:pPr>
            <w:r w:rsidRPr="00F23D78">
              <w:rPr>
                <w:rFonts w:ascii="Georgia" w:hAnsi="Georgia" w:cs="Arial"/>
                <w:i/>
                <w:iCs/>
                <w:sz w:val="18"/>
                <w:szCs w:val="18"/>
              </w:rPr>
              <w:t xml:space="preserve">Confirm </w:t>
            </w:r>
            <w:r w:rsidR="00BD51B7" w:rsidRPr="00F23D78">
              <w:rPr>
                <w:rFonts w:ascii="Georgia" w:hAnsi="Georgia" w:cs="Arial"/>
                <w:i/>
                <w:iCs/>
                <w:sz w:val="18"/>
                <w:szCs w:val="18"/>
              </w:rPr>
              <w:t xml:space="preserve">whether </w:t>
            </w:r>
            <w:r w:rsidR="00E36E98" w:rsidRPr="00F23D78">
              <w:rPr>
                <w:rFonts w:ascii="Georgia" w:hAnsi="Georgia" w:cs="Arial"/>
                <w:i/>
                <w:iCs/>
                <w:sz w:val="18"/>
                <w:szCs w:val="18"/>
              </w:rPr>
              <w:t>any</w:t>
            </w:r>
            <w:r w:rsidR="009A7162" w:rsidRPr="00F23D78">
              <w:rPr>
                <w:rFonts w:ascii="Georgia" w:hAnsi="Georgia" w:cs="Arial"/>
                <w:i/>
                <w:iCs/>
                <w:sz w:val="18"/>
                <w:szCs w:val="18"/>
              </w:rPr>
              <w:t xml:space="preserve"> E&amp;S incidents </w:t>
            </w:r>
            <w:r w:rsidR="00E36E98" w:rsidRPr="00F23D78">
              <w:rPr>
                <w:rFonts w:ascii="Georgia" w:hAnsi="Georgia" w:cs="Arial"/>
                <w:i/>
                <w:iCs/>
                <w:sz w:val="18"/>
                <w:szCs w:val="18"/>
              </w:rPr>
              <w:t xml:space="preserve">occurred </w:t>
            </w:r>
            <w:r w:rsidR="009A7162" w:rsidRPr="00F23D78">
              <w:rPr>
                <w:rFonts w:ascii="Georgia" w:hAnsi="Georgia" w:cs="Arial"/>
                <w:i/>
                <w:iCs/>
                <w:sz w:val="18"/>
                <w:szCs w:val="18"/>
              </w:rPr>
              <w:t xml:space="preserve">since the last </w:t>
            </w:r>
            <w:r w:rsidR="00E36E98" w:rsidRPr="00F23D78">
              <w:rPr>
                <w:rFonts w:ascii="Georgia" w:hAnsi="Georgia" w:cs="Arial"/>
                <w:i/>
                <w:iCs/>
                <w:sz w:val="18"/>
                <w:szCs w:val="18"/>
              </w:rPr>
              <w:t xml:space="preserve">site </w:t>
            </w:r>
            <w:r w:rsidR="009A7162" w:rsidRPr="00F23D78">
              <w:rPr>
                <w:rFonts w:ascii="Georgia" w:hAnsi="Georgia" w:cs="Arial"/>
                <w:i/>
                <w:iCs/>
                <w:sz w:val="18"/>
                <w:szCs w:val="18"/>
              </w:rPr>
              <w:t>visi</w:t>
            </w:r>
            <w:r w:rsidR="00E36E98" w:rsidRPr="00F23D78">
              <w:rPr>
                <w:rFonts w:ascii="Georgia" w:hAnsi="Georgia" w:cs="Arial"/>
                <w:i/>
                <w:iCs/>
                <w:sz w:val="18"/>
                <w:szCs w:val="18"/>
              </w:rPr>
              <w:t>t</w:t>
            </w:r>
            <w:r w:rsidR="00BD51B7" w:rsidRPr="00F23D78">
              <w:rPr>
                <w:rFonts w:ascii="Georgia" w:hAnsi="Georgia" w:cs="Arial"/>
                <w:i/>
                <w:iCs/>
                <w:sz w:val="18"/>
                <w:szCs w:val="18"/>
              </w:rPr>
              <w:t>.</w:t>
            </w:r>
            <w:r w:rsidR="00E36E98" w:rsidRPr="00F23D78">
              <w:rPr>
                <w:rFonts w:ascii="Georgia" w:hAnsi="Georgia" w:cs="Arial"/>
                <w:i/>
                <w:iCs/>
                <w:sz w:val="18"/>
                <w:szCs w:val="18"/>
              </w:rPr>
              <w:t xml:space="preserve"> These may include </w:t>
            </w:r>
            <w:r w:rsidR="009A7162" w:rsidRPr="00F23D78">
              <w:rPr>
                <w:rFonts w:ascii="Georgia" w:hAnsi="Georgia" w:cs="Arial"/>
                <w:i/>
                <w:iCs/>
                <w:sz w:val="18"/>
                <w:szCs w:val="18"/>
              </w:rPr>
              <w:t>fire, chemical product spills, occupational accidents with loss time, strike, neighbourhood issues with the neighbours or with the communities, fines, etc</w:t>
            </w:r>
            <w:r w:rsidR="00E36E98" w:rsidRPr="00F23D78">
              <w:rPr>
                <w:rFonts w:ascii="Georgia" w:hAnsi="Georgia" w:cs="Arial"/>
                <w:i/>
                <w:iCs/>
                <w:sz w:val="18"/>
                <w:szCs w:val="18"/>
              </w:rPr>
              <w:t xml:space="preserve">. If yes, </w:t>
            </w:r>
            <w:r w:rsidR="009A7162" w:rsidRPr="00F23D78">
              <w:rPr>
                <w:rFonts w:ascii="Georgia" w:hAnsi="Georgia" w:cs="Arial"/>
                <w:i/>
                <w:iCs/>
                <w:sz w:val="18"/>
                <w:szCs w:val="18"/>
              </w:rPr>
              <w:t>provide a descriptio</w:t>
            </w:r>
            <w:r w:rsidR="00E36E98" w:rsidRPr="00F23D78">
              <w:rPr>
                <w:rFonts w:ascii="Georgia" w:hAnsi="Georgia" w:cs="Arial"/>
                <w:i/>
                <w:iCs/>
                <w:sz w:val="18"/>
                <w:szCs w:val="18"/>
              </w:rPr>
              <w:t>n of the incident</w:t>
            </w:r>
            <w:r w:rsidR="00555482" w:rsidRPr="00F23D78">
              <w:rPr>
                <w:rFonts w:ascii="Georgia" w:hAnsi="Georgia" w:cs="Arial"/>
                <w:i/>
                <w:iCs/>
                <w:sz w:val="18"/>
                <w:szCs w:val="18"/>
              </w:rPr>
              <w:t>(s)</w:t>
            </w:r>
            <w:r w:rsidR="00E36E98" w:rsidRPr="00F23D78">
              <w:rPr>
                <w:rFonts w:ascii="Georgia" w:hAnsi="Georgia" w:cs="Arial"/>
                <w:i/>
                <w:iCs/>
                <w:sz w:val="18"/>
                <w:szCs w:val="18"/>
              </w:rPr>
              <w:t xml:space="preserve"> and how the client/project dealt with the incident</w:t>
            </w:r>
            <w:r w:rsidR="00547B9E" w:rsidRPr="00F23D78">
              <w:rPr>
                <w:rFonts w:ascii="Georgia" w:hAnsi="Georgia" w:cs="Arial"/>
                <w:i/>
                <w:iCs/>
                <w:sz w:val="18"/>
                <w:szCs w:val="18"/>
              </w:rPr>
              <w:t xml:space="preserve">, including any mitigation measures implemented and lessons learnt. </w:t>
            </w:r>
          </w:p>
        </w:tc>
      </w:tr>
      <w:tr w:rsidR="004E2D00" w:rsidRPr="00F23D78" w14:paraId="315810A7" w14:textId="77777777" w:rsidTr="00816BA9">
        <w:trPr>
          <w:cantSplit/>
          <w:trHeight w:val="1331"/>
        </w:trPr>
        <w:tc>
          <w:tcPr>
            <w:tcW w:w="1336" w:type="pct"/>
            <w:shd w:val="clear" w:color="auto" w:fill="F2F2F2" w:themeFill="background1" w:themeFillShade="F2"/>
            <w:vAlign w:val="center"/>
          </w:tcPr>
          <w:p w14:paraId="7D862BE5" w14:textId="10CC7E6B" w:rsidR="004E2D00" w:rsidRPr="00F23D78" w:rsidRDefault="004E2D00" w:rsidP="00FC1BCB">
            <w:pPr>
              <w:keepNext/>
              <w:rPr>
                <w:rFonts w:ascii="Georgia" w:hAnsi="Georgia" w:cs="Arial"/>
                <w:b/>
                <w:bCs/>
                <w:sz w:val="20"/>
                <w:szCs w:val="20"/>
              </w:rPr>
            </w:pPr>
            <w:r w:rsidRPr="00F23D78">
              <w:rPr>
                <w:rFonts w:ascii="Georgia" w:hAnsi="Georgia" w:cs="Arial"/>
                <w:b/>
                <w:bCs/>
                <w:sz w:val="20"/>
                <w:szCs w:val="20"/>
              </w:rPr>
              <w:t>E&amp;S Monitoring and Reporting</w:t>
            </w:r>
            <w:r w:rsidR="00027AF6" w:rsidRPr="00F23D78">
              <w:rPr>
                <w:rFonts w:ascii="Georgia" w:hAnsi="Georgia" w:cs="Arial"/>
                <w:b/>
                <w:bCs/>
                <w:sz w:val="20"/>
                <w:szCs w:val="20"/>
              </w:rPr>
              <w:t xml:space="preserve"> (Monitoring Visit)</w:t>
            </w:r>
          </w:p>
        </w:tc>
        <w:tc>
          <w:tcPr>
            <w:tcW w:w="3664" w:type="pct"/>
            <w:gridSpan w:val="2"/>
            <w:shd w:val="clear" w:color="auto" w:fill="FFFFFF" w:themeFill="background1"/>
            <w:vAlign w:val="center"/>
          </w:tcPr>
          <w:p w14:paraId="1F4EE947" w14:textId="1AC9ADD4" w:rsidR="004E2D00" w:rsidRPr="00F23D78" w:rsidRDefault="004E2D00" w:rsidP="00047CBD">
            <w:pPr>
              <w:keepNext/>
              <w:rPr>
                <w:rFonts w:ascii="Georgia" w:hAnsi="Georgia" w:cs="Arial"/>
                <w:i/>
                <w:iCs/>
                <w:sz w:val="18"/>
                <w:szCs w:val="18"/>
              </w:rPr>
            </w:pPr>
            <w:r w:rsidRPr="00F23D78">
              <w:rPr>
                <w:rFonts w:ascii="Georgia" w:hAnsi="Georgia" w:cs="Arial"/>
                <w:i/>
                <w:iCs/>
                <w:sz w:val="18"/>
                <w:szCs w:val="18"/>
              </w:rPr>
              <w:t xml:space="preserve">Has the annual E&amp;S report been </w:t>
            </w:r>
            <w:r w:rsidR="007D00C4" w:rsidRPr="00F23D78">
              <w:rPr>
                <w:rFonts w:ascii="Georgia" w:hAnsi="Georgia" w:cs="Arial"/>
                <w:i/>
                <w:iCs/>
                <w:sz w:val="18"/>
                <w:szCs w:val="18"/>
              </w:rPr>
              <w:t xml:space="preserve">submitted </w:t>
            </w:r>
            <w:r w:rsidRPr="00F23D78">
              <w:rPr>
                <w:rFonts w:ascii="Georgia" w:hAnsi="Georgia" w:cs="Arial"/>
                <w:i/>
                <w:iCs/>
                <w:sz w:val="18"/>
                <w:szCs w:val="18"/>
              </w:rPr>
              <w:t>within the prescribed timeframe? Is there evidence available, to allow the FI to confirm / verify the information provided?</w:t>
            </w:r>
          </w:p>
        </w:tc>
      </w:tr>
    </w:tbl>
    <w:p w14:paraId="5A89A918" w14:textId="77777777" w:rsidR="006071C7" w:rsidRPr="00F23D78" w:rsidRDefault="006071C7">
      <w:pPr>
        <w:rPr>
          <w:rFonts w:ascii="Georgia" w:hAnsi="Georgia" w:cs="Arial"/>
        </w:rPr>
      </w:pPr>
    </w:p>
    <w:sectPr w:rsidR="006071C7" w:rsidRPr="00F23D78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668565" w14:textId="77777777" w:rsidR="00E23A7F" w:rsidRDefault="00E23A7F" w:rsidP="00025DAB">
      <w:pPr>
        <w:spacing w:after="0" w:line="240" w:lineRule="auto"/>
      </w:pPr>
      <w:r>
        <w:separator/>
      </w:r>
    </w:p>
  </w:endnote>
  <w:endnote w:type="continuationSeparator" w:id="0">
    <w:p w14:paraId="0301C780" w14:textId="77777777" w:rsidR="00E23A7F" w:rsidRDefault="00E23A7F" w:rsidP="00025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40802894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color w:val="595959"/>
        <w:sz w:val="20"/>
        <w:szCs w:val="20"/>
      </w:rPr>
    </w:sdtEndPr>
    <w:sdtContent>
      <w:p w14:paraId="15FACBAF" w14:textId="5970FE1B" w:rsidR="002E4D81" w:rsidRPr="00AF601B" w:rsidRDefault="00AF601B" w:rsidP="00AF601B">
        <w:pPr>
          <w:pStyle w:val="Footer"/>
          <w:jc w:val="right"/>
          <w:rPr>
            <w:rFonts w:ascii="Arial" w:hAnsi="Arial" w:cs="Arial"/>
            <w:color w:val="595959"/>
            <w:sz w:val="20"/>
            <w:szCs w:val="20"/>
          </w:rPr>
        </w:pPr>
        <w:r w:rsidRPr="00AF601B">
          <w:rPr>
            <w:rFonts w:ascii="Arial" w:hAnsi="Arial" w:cs="Arial"/>
            <w:color w:val="595959"/>
            <w:sz w:val="20"/>
            <w:szCs w:val="20"/>
          </w:rPr>
          <w:fldChar w:fldCharType="begin"/>
        </w:r>
        <w:r w:rsidRPr="00AF601B">
          <w:rPr>
            <w:rFonts w:ascii="Arial" w:hAnsi="Arial" w:cs="Arial"/>
            <w:color w:val="595959"/>
            <w:sz w:val="20"/>
            <w:szCs w:val="20"/>
          </w:rPr>
          <w:instrText xml:space="preserve"> PAGE   \* MERGEFORMAT </w:instrText>
        </w:r>
        <w:r w:rsidRPr="00AF601B">
          <w:rPr>
            <w:rFonts w:ascii="Arial" w:hAnsi="Arial" w:cs="Arial"/>
            <w:color w:val="595959"/>
            <w:sz w:val="20"/>
            <w:szCs w:val="20"/>
          </w:rPr>
          <w:fldChar w:fldCharType="separate"/>
        </w:r>
        <w:r w:rsidRPr="00AF601B">
          <w:rPr>
            <w:rFonts w:ascii="Arial" w:hAnsi="Arial" w:cs="Arial"/>
            <w:noProof/>
            <w:color w:val="595959"/>
            <w:sz w:val="20"/>
            <w:szCs w:val="20"/>
          </w:rPr>
          <w:t>2</w:t>
        </w:r>
        <w:r w:rsidRPr="00AF601B">
          <w:rPr>
            <w:rFonts w:ascii="Arial" w:hAnsi="Arial" w:cs="Arial"/>
            <w:noProof/>
            <w:color w:val="595959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531D49" w14:textId="77777777" w:rsidR="00E23A7F" w:rsidRDefault="00E23A7F" w:rsidP="00025DAB">
      <w:pPr>
        <w:spacing w:after="0" w:line="240" w:lineRule="auto"/>
      </w:pPr>
      <w:r>
        <w:separator/>
      </w:r>
    </w:p>
  </w:footnote>
  <w:footnote w:type="continuationSeparator" w:id="0">
    <w:p w14:paraId="3070938A" w14:textId="77777777" w:rsidR="00E23A7F" w:rsidRDefault="00E23A7F" w:rsidP="00025D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CB839B" w14:textId="5C3274CA" w:rsidR="00A06F92" w:rsidRDefault="00A06F92">
    <w:pPr>
      <w:pStyle w:val="Header"/>
    </w:pPr>
    <w:r w:rsidRPr="00FB759E">
      <w:rPr>
        <w:rFonts w:ascii="Arial" w:hAnsi="Arial" w:cs="Arial"/>
        <w:noProof/>
        <w:sz w:val="20"/>
        <w:szCs w:val="20"/>
        <w:lang w:val="en-US"/>
      </w:rPr>
      <w:drawing>
        <wp:anchor distT="0" distB="0" distL="114300" distR="114300" simplePos="0" relativeHeight="251659264" behindDoc="0" locked="0" layoutInCell="1" allowOverlap="1" wp14:anchorId="16B74194" wp14:editId="621DCE2B">
          <wp:simplePos x="0" y="0"/>
          <wp:positionH relativeFrom="margin">
            <wp:posOffset>5353050</wp:posOffset>
          </wp:positionH>
          <wp:positionV relativeFrom="margin">
            <wp:posOffset>-561975</wp:posOffset>
          </wp:positionV>
          <wp:extent cx="676275" cy="267970"/>
          <wp:effectExtent l="0" t="0" r="952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DC black logo 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275" cy="2679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A0EE3DF2"/>
    <w:lvl w:ilvl="0">
      <w:start w:val="1"/>
      <w:numFmt w:val="decimal"/>
      <w:lvlText w:val="%1"/>
      <w:legacy w:legacy="1" w:legacySpace="0" w:legacyIndent="708"/>
      <w:lvlJc w:val="left"/>
      <w:pPr>
        <w:ind w:left="0" w:hanging="708"/>
      </w:pPr>
    </w:lvl>
    <w:lvl w:ilvl="1">
      <w:start w:val="1"/>
      <w:numFmt w:val="decimal"/>
      <w:lvlText w:val="%1.%2"/>
      <w:legacy w:legacy="1" w:legacySpace="0" w:legacyIndent="708"/>
      <w:lvlJc w:val="left"/>
      <w:pPr>
        <w:ind w:left="0" w:hanging="708"/>
      </w:pPr>
    </w:lvl>
    <w:lvl w:ilvl="2">
      <w:start w:val="1"/>
      <w:numFmt w:val="decimal"/>
      <w:lvlText w:val="%1.%2.%3"/>
      <w:legacy w:legacy="1" w:legacySpace="0" w:legacyIndent="708"/>
      <w:lvlJc w:val="left"/>
      <w:pPr>
        <w:ind w:left="0" w:hanging="708"/>
      </w:pPr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lvlText w:val=""/>
      <w:legacy w:legacy="1" w:legacySpace="0" w:legacyIndent="708"/>
      <w:lvlJc w:val="left"/>
      <w:pPr>
        <w:ind w:left="2832" w:hanging="708"/>
      </w:pPr>
    </w:lvl>
    <w:lvl w:ilvl="6">
      <w:start w:val="1"/>
      <w:numFmt w:val="decimal"/>
      <w:lvlText w:val="%7."/>
      <w:legacy w:legacy="1" w:legacySpace="0" w:legacyIndent="708"/>
      <w:lvlJc w:val="left"/>
      <w:pPr>
        <w:ind w:left="3540" w:hanging="708"/>
      </w:pPr>
    </w:lvl>
    <w:lvl w:ilvl="7">
      <w:start w:val="1"/>
      <w:numFmt w:val="decimal"/>
      <w:lvlText w:val="%7.%8."/>
      <w:legacy w:legacy="1" w:legacySpace="0" w:legacyIndent="708"/>
      <w:lvlJc w:val="left"/>
      <w:pPr>
        <w:ind w:left="4248" w:hanging="708"/>
      </w:pPr>
    </w:lvl>
    <w:lvl w:ilvl="8">
      <w:start w:val="1"/>
      <w:numFmt w:val="decimal"/>
      <w:lvlText w:val="%7.%8.%9."/>
      <w:legacy w:legacy="1" w:legacySpace="0" w:legacyIndent="708"/>
      <w:lvlJc w:val="left"/>
      <w:pPr>
        <w:ind w:left="4956" w:hanging="708"/>
      </w:pPr>
    </w:lvl>
  </w:abstractNum>
  <w:abstractNum w:abstractNumId="1" w15:restartNumberingAfterBreak="0">
    <w:nsid w:val="009D2946"/>
    <w:multiLevelType w:val="hybridMultilevel"/>
    <w:tmpl w:val="42DC815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266FB"/>
    <w:multiLevelType w:val="hybridMultilevel"/>
    <w:tmpl w:val="F74A54E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7766D"/>
    <w:multiLevelType w:val="hybridMultilevel"/>
    <w:tmpl w:val="1B7E03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5F6855"/>
    <w:multiLevelType w:val="hybridMultilevel"/>
    <w:tmpl w:val="A04ACD8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D05B7D"/>
    <w:multiLevelType w:val="hybridMultilevel"/>
    <w:tmpl w:val="2732FAC4"/>
    <w:lvl w:ilvl="0" w:tplc="809C7B5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82D325C"/>
    <w:multiLevelType w:val="hybridMultilevel"/>
    <w:tmpl w:val="86B65CDC"/>
    <w:lvl w:ilvl="0" w:tplc="2000000F">
      <w:start w:val="1"/>
      <w:numFmt w:val="decimal"/>
      <w:lvlText w:val="%1.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9F61EFD"/>
    <w:multiLevelType w:val="hybridMultilevel"/>
    <w:tmpl w:val="96D61F2A"/>
    <w:lvl w:ilvl="0" w:tplc="7B16672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1E2A27"/>
    <w:multiLevelType w:val="hybridMultilevel"/>
    <w:tmpl w:val="1CFC6708"/>
    <w:lvl w:ilvl="0" w:tplc="553C7900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7761194"/>
    <w:multiLevelType w:val="hybridMultilevel"/>
    <w:tmpl w:val="FD180BA0"/>
    <w:lvl w:ilvl="0" w:tplc="200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7895D4C"/>
    <w:multiLevelType w:val="hybridMultilevel"/>
    <w:tmpl w:val="021E9FDC"/>
    <w:lvl w:ilvl="0" w:tplc="20000001">
      <w:start w:val="1"/>
      <w:numFmt w:val="bullet"/>
      <w:lvlText w:val=""/>
      <w:lvlJc w:val="left"/>
      <w:pPr>
        <w:ind w:left="361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11" w15:restartNumberingAfterBreak="0">
    <w:nsid w:val="29B530C5"/>
    <w:multiLevelType w:val="hybridMultilevel"/>
    <w:tmpl w:val="4296D9C2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DB005D2"/>
    <w:multiLevelType w:val="hybridMultilevel"/>
    <w:tmpl w:val="F226344E"/>
    <w:lvl w:ilvl="0" w:tplc="553C7900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1FE0BC2"/>
    <w:multiLevelType w:val="hybridMultilevel"/>
    <w:tmpl w:val="01DEDE72"/>
    <w:lvl w:ilvl="0" w:tplc="56AC979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u w:color="E36C0A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4990C43"/>
    <w:multiLevelType w:val="multilevel"/>
    <w:tmpl w:val="F11429E0"/>
    <w:lvl w:ilvl="0">
      <w:start w:val="1"/>
      <w:numFmt w:val="decimal"/>
      <w:pStyle w:val="Heading1"/>
      <w:lvlText w:val="%1"/>
      <w:legacy w:legacy="1" w:legacySpace="0" w:legacyIndent="708"/>
      <w:lvlJc w:val="left"/>
      <w:pPr>
        <w:ind w:left="0" w:hanging="708"/>
      </w:pPr>
    </w:lvl>
    <w:lvl w:ilvl="1">
      <w:start w:val="1"/>
      <w:numFmt w:val="decimal"/>
      <w:pStyle w:val="Heading2"/>
      <w:lvlText w:val="%1.%2"/>
      <w:legacy w:legacy="1" w:legacySpace="0" w:legacyIndent="708"/>
      <w:lvlJc w:val="left"/>
      <w:pPr>
        <w:ind w:left="0" w:hanging="708"/>
      </w:pPr>
    </w:lvl>
    <w:lvl w:ilvl="2">
      <w:start w:val="1"/>
      <w:numFmt w:val="decimal"/>
      <w:pStyle w:val="Heading3"/>
      <w:lvlText w:val="%1.%2.%3"/>
      <w:legacy w:legacy="1" w:legacySpace="0" w:legacyIndent="708"/>
      <w:lvlJc w:val="left"/>
      <w:pPr>
        <w:ind w:left="0" w:hanging="708"/>
      </w:pPr>
    </w:lvl>
    <w:lvl w:ilvl="3">
      <w:start w:val="1"/>
      <w:numFmt w:val="none"/>
      <w:pStyle w:val="Heading4"/>
      <w:suff w:val="nothing"/>
      <w:lvlText w:val=""/>
      <w:lvlJc w:val="left"/>
    </w:lvl>
    <w:lvl w:ilvl="4">
      <w:start w:val="1"/>
      <w:numFmt w:val="none"/>
      <w:pStyle w:val="Heading5"/>
      <w:suff w:val="nothing"/>
      <w:lvlText w:val=""/>
      <w:lvlJc w:val="left"/>
    </w:lvl>
    <w:lvl w:ilvl="5">
      <w:start w:val="1"/>
      <w:numFmt w:val="none"/>
      <w:pStyle w:val="Heading6"/>
      <w:lvlText w:val=""/>
      <w:legacy w:legacy="1" w:legacySpace="0" w:legacyIndent="708"/>
      <w:lvlJc w:val="left"/>
      <w:pPr>
        <w:ind w:left="2832" w:hanging="708"/>
      </w:pPr>
    </w:lvl>
    <w:lvl w:ilvl="6">
      <w:start w:val="1"/>
      <w:numFmt w:val="decimal"/>
      <w:pStyle w:val="Heading7"/>
      <w:lvlText w:val="%7."/>
      <w:legacy w:legacy="1" w:legacySpace="0" w:legacyIndent="708"/>
      <w:lvlJc w:val="left"/>
      <w:pPr>
        <w:ind w:left="3540" w:hanging="708"/>
      </w:pPr>
    </w:lvl>
    <w:lvl w:ilvl="7">
      <w:start w:val="1"/>
      <w:numFmt w:val="decimal"/>
      <w:pStyle w:val="Heading8"/>
      <w:lvlText w:val="%7.%8."/>
      <w:legacy w:legacy="1" w:legacySpace="0" w:legacyIndent="708"/>
      <w:lvlJc w:val="left"/>
      <w:pPr>
        <w:ind w:left="4248" w:hanging="708"/>
      </w:pPr>
    </w:lvl>
    <w:lvl w:ilvl="8">
      <w:start w:val="1"/>
      <w:numFmt w:val="decimal"/>
      <w:pStyle w:val="Heading9"/>
      <w:lvlText w:val="%7.%8.%9."/>
      <w:legacy w:legacy="1" w:legacySpace="0" w:legacyIndent="708"/>
      <w:lvlJc w:val="left"/>
      <w:pPr>
        <w:ind w:left="4956" w:hanging="708"/>
      </w:pPr>
    </w:lvl>
  </w:abstractNum>
  <w:abstractNum w:abstractNumId="15" w15:restartNumberingAfterBreak="0">
    <w:nsid w:val="35AE0A41"/>
    <w:multiLevelType w:val="hybridMultilevel"/>
    <w:tmpl w:val="25E2A35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2B5795"/>
    <w:multiLevelType w:val="hybridMultilevel"/>
    <w:tmpl w:val="B3ECD1E6"/>
    <w:lvl w:ilvl="0" w:tplc="553C7900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F39278B"/>
    <w:multiLevelType w:val="multilevel"/>
    <w:tmpl w:val="1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0071D3F"/>
    <w:multiLevelType w:val="hybridMultilevel"/>
    <w:tmpl w:val="61902920"/>
    <w:lvl w:ilvl="0" w:tplc="553C7900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2306FF5"/>
    <w:multiLevelType w:val="multilevel"/>
    <w:tmpl w:val="BECADEC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44995F39"/>
    <w:multiLevelType w:val="multilevel"/>
    <w:tmpl w:val="EDE2B4F4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ind w:left="714" w:hanging="357"/>
      </w:pPr>
      <w:rPr>
        <w:rFonts w:ascii="Arial" w:hAnsi="Arial" w:hint="default"/>
        <w:caps w:val="0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21" w15:restartNumberingAfterBreak="0">
    <w:nsid w:val="45516709"/>
    <w:multiLevelType w:val="hybridMultilevel"/>
    <w:tmpl w:val="2BE2C46A"/>
    <w:lvl w:ilvl="0" w:tplc="E0FA7782">
      <w:start w:val="3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2" w15:restartNumberingAfterBreak="0">
    <w:nsid w:val="458D7F41"/>
    <w:multiLevelType w:val="hybridMultilevel"/>
    <w:tmpl w:val="65304AE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582F03"/>
    <w:multiLevelType w:val="hybridMultilevel"/>
    <w:tmpl w:val="98B29430"/>
    <w:lvl w:ilvl="0" w:tplc="DCA0A350">
      <w:numFmt w:val="bullet"/>
      <w:lvlText w:val="•"/>
      <w:lvlJc w:val="left"/>
      <w:pPr>
        <w:ind w:left="1440" w:hanging="720"/>
      </w:pPr>
      <w:rPr>
        <w:rFonts w:ascii="Arial" w:eastAsiaTheme="minorHAnsi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88C5FD8"/>
    <w:multiLevelType w:val="hybridMultilevel"/>
    <w:tmpl w:val="4F0E2ECC"/>
    <w:lvl w:ilvl="0" w:tplc="895C1A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5F616D" w:themeColor="accent1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F664054"/>
    <w:multiLevelType w:val="hybridMultilevel"/>
    <w:tmpl w:val="129C334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09268B"/>
    <w:multiLevelType w:val="hybridMultilevel"/>
    <w:tmpl w:val="BA20CD4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836BBF"/>
    <w:multiLevelType w:val="hybridMultilevel"/>
    <w:tmpl w:val="56D21CC6"/>
    <w:lvl w:ilvl="0" w:tplc="CEA04E9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F649A2"/>
    <w:multiLevelType w:val="hybridMultilevel"/>
    <w:tmpl w:val="1844620E"/>
    <w:lvl w:ilvl="0" w:tplc="2000000F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29" w15:restartNumberingAfterBreak="0">
    <w:nsid w:val="60FB5679"/>
    <w:multiLevelType w:val="hybridMultilevel"/>
    <w:tmpl w:val="70AE1B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17E6F15"/>
    <w:multiLevelType w:val="hybridMultilevel"/>
    <w:tmpl w:val="96BAEAE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985B5F"/>
    <w:multiLevelType w:val="hybridMultilevel"/>
    <w:tmpl w:val="2A242A9A"/>
    <w:lvl w:ilvl="0" w:tplc="741480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F8E6CB1"/>
    <w:multiLevelType w:val="hybridMultilevel"/>
    <w:tmpl w:val="34D40A4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4414C9"/>
    <w:multiLevelType w:val="hybridMultilevel"/>
    <w:tmpl w:val="1518C2C0"/>
    <w:lvl w:ilvl="0" w:tplc="CEA04E9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670D51"/>
    <w:multiLevelType w:val="hybridMultilevel"/>
    <w:tmpl w:val="0026F1A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11710C"/>
    <w:multiLevelType w:val="hybridMultilevel"/>
    <w:tmpl w:val="63A2D49C"/>
    <w:lvl w:ilvl="0" w:tplc="553C7900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B3A3386"/>
    <w:multiLevelType w:val="hybridMultilevel"/>
    <w:tmpl w:val="0DC493BE"/>
    <w:lvl w:ilvl="0" w:tplc="DCA0A350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244DA1"/>
    <w:multiLevelType w:val="hybridMultilevel"/>
    <w:tmpl w:val="FA64807C"/>
    <w:lvl w:ilvl="0" w:tplc="553C7900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0"/>
  </w:num>
  <w:num w:numId="3">
    <w:abstractNumId w:val="19"/>
  </w:num>
  <w:num w:numId="4">
    <w:abstractNumId w:val="24"/>
  </w:num>
  <w:num w:numId="5">
    <w:abstractNumId w:val="17"/>
  </w:num>
  <w:num w:numId="6">
    <w:abstractNumId w:val="20"/>
  </w:num>
  <w:num w:numId="7">
    <w:abstractNumId w:val="14"/>
  </w:num>
  <w:num w:numId="8">
    <w:abstractNumId w:val="14"/>
  </w:num>
  <w:num w:numId="9">
    <w:abstractNumId w:val="14"/>
  </w:num>
  <w:num w:numId="10">
    <w:abstractNumId w:val="14"/>
  </w:num>
  <w:num w:numId="11">
    <w:abstractNumId w:val="11"/>
  </w:num>
  <w:num w:numId="12">
    <w:abstractNumId w:val="0"/>
  </w:num>
  <w:num w:numId="13">
    <w:abstractNumId w:val="14"/>
  </w:num>
  <w:num w:numId="14">
    <w:abstractNumId w:val="14"/>
  </w:num>
  <w:num w:numId="15">
    <w:abstractNumId w:val="14"/>
  </w:num>
  <w:num w:numId="16">
    <w:abstractNumId w:val="1"/>
  </w:num>
  <w:num w:numId="17">
    <w:abstractNumId w:val="14"/>
  </w:num>
  <w:num w:numId="18">
    <w:abstractNumId w:val="14"/>
  </w:num>
  <w:num w:numId="19">
    <w:abstractNumId w:val="14"/>
  </w:num>
  <w:num w:numId="20">
    <w:abstractNumId w:val="32"/>
  </w:num>
  <w:num w:numId="21">
    <w:abstractNumId w:val="26"/>
  </w:num>
  <w:num w:numId="22">
    <w:abstractNumId w:val="14"/>
  </w:num>
  <w:num w:numId="23">
    <w:abstractNumId w:val="29"/>
  </w:num>
  <w:num w:numId="24">
    <w:abstractNumId w:val="14"/>
  </w:num>
  <w:num w:numId="25">
    <w:abstractNumId w:val="21"/>
  </w:num>
  <w:num w:numId="26">
    <w:abstractNumId w:val="14"/>
  </w:num>
  <w:num w:numId="27">
    <w:abstractNumId w:val="3"/>
  </w:num>
  <w:num w:numId="28">
    <w:abstractNumId w:val="9"/>
  </w:num>
  <w:num w:numId="29">
    <w:abstractNumId w:val="28"/>
  </w:num>
  <w:num w:numId="30">
    <w:abstractNumId w:val="31"/>
  </w:num>
  <w:num w:numId="31">
    <w:abstractNumId w:val="6"/>
  </w:num>
  <w:num w:numId="32">
    <w:abstractNumId w:val="2"/>
  </w:num>
  <w:num w:numId="33">
    <w:abstractNumId w:val="10"/>
  </w:num>
  <w:num w:numId="34">
    <w:abstractNumId w:val="18"/>
  </w:num>
  <w:num w:numId="35">
    <w:abstractNumId w:val="16"/>
  </w:num>
  <w:num w:numId="36">
    <w:abstractNumId w:val="35"/>
  </w:num>
  <w:num w:numId="37">
    <w:abstractNumId w:val="12"/>
  </w:num>
  <w:num w:numId="38">
    <w:abstractNumId w:val="8"/>
  </w:num>
  <w:num w:numId="39">
    <w:abstractNumId w:val="37"/>
  </w:num>
  <w:num w:numId="40">
    <w:abstractNumId w:val="15"/>
  </w:num>
  <w:num w:numId="41">
    <w:abstractNumId w:val="5"/>
  </w:num>
  <w:num w:numId="42">
    <w:abstractNumId w:val="7"/>
  </w:num>
  <w:num w:numId="43">
    <w:abstractNumId w:val="27"/>
  </w:num>
  <w:num w:numId="44">
    <w:abstractNumId w:val="33"/>
  </w:num>
  <w:num w:numId="45">
    <w:abstractNumId w:val="13"/>
  </w:num>
  <w:num w:numId="46">
    <w:abstractNumId w:val="34"/>
  </w:num>
  <w:num w:numId="47">
    <w:abstractNumId w:val="36"/>
  </w:num>
  <w:num w:numId="48">
    <w:abstractNumId w:val="23"/>
  </w:num>
  <w:num w:numId="49">
    <w:abstractNumId w:val="25"/>
  </w:num>
  <w:num w:numId="5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AzNTMwtjA1NLewMDVT0lEKTi0uzszPAykwrQUAMxPPXSwAAAA="/>
  </w:docVars>
  <w:rsids>
    <w:rsidRoot w:val="00B82773"/>
    <w:rsid w:val="000007E0"/>
    <w:rsid w:val="00004506"/>
    <w:rsid w:val="00005B03"/>
    <w:rsid w:val="00010DB5"/>
    <w:rsid w:val="00014C00"/>
    <w:rsid w:val="00025B9F"/>
    <w:rsid w:val="00025DAB"/>
    <w:rsid w:val="00026090"/>
    <w:rsid w:val="00027AF6"/>
    <w:rsid w:val="00031BFF"/>
    <w:rsid w:val="000321C4"/>
    <w:rsid w:val="00036F6D"/>
    <w:rsid w:val="00044EDB"/>
    <w:rsid w:val="00044FF1"/>
    <w:rsid w:val="00046556"/>
    <w:rsid w:val="00047CBD"/>
    <w:rsid w:val="000552EA"/>
    <w:rsid w:val="0006204E"/>
    <w:rsid w:val="000701AF"/>
    <w:rsid w:val="00071D27"/>
    <w:rsid w:val="0007236E"/>
    <w:rsid w:val="00072BB0"/>
    <w:rsid w:val="000801B0"/>
    <w:rsid w:val="00087319"/>
    <w:rsid w:val="00093349"/>
    <w:rsid w:val="000B2274"/>
    <w:rsid w:val="000B7CF7"/>
    <w:rsid w:val="000C45F0"/>
    <w:rsid w:val="000C5C52"/>
    <w:rsid w:val="000C646F"/>
    <w:rsid w:val="000E09DF"/>
    <w:rsid w:val="000E0C5F"/>
    <w:rsid w:val="000E3590"/>
    <w:rsid w:val="000E7B19"/>
    <w:rsid w:val="000F0E36"/>
    <w:rsid w:val="000F239A"/>
    <w:rsid w:val="00100817"/>
    <w:rsid w:val="00100F49"/>
    <w:rsid w:val="00102C66"/>
    <w:rsid w:val="00106968"/>
    <w:rsid w:val="00111D0A"/>
    <w:rsid w:val="001139BB"/>
    <w:rsid w:val="00120267"/>
    <w:rsid w:val="00131DB8"/>
    <w:rsid w:val="00133F12"/>
    <w:rsid w:val="001373D3"/>
    <w:rsid w:val="00144738"/>
    <w:rsid w:val="00144D0A"/>
    <w:rsid w:val="001517AB"/>
    <w:rsid w:val="00156892"/>
    <w:rsid w:val="00160177"/>
    <w:rsid w:val="0016098C"/>
    <w:rsid w:val="001739AA"/>
    <w:rsid w:val="00173D00"/>
    <w:rsid w:val="0018065B"/>
    <w:rsid w:val="0018125A"/>
    <w:rsid w:val="00185BF1"/>
    <w:rsid w:val="00186429"/>
    <w:rsid w:val="001864E9"/>
    <w:rsid w:val="00193C5C"/>
    <w:rsid w:val="00194DEB"/>
    <w:rsid w:val="0019615D"/>
    <w:rsid w:val="001A2937"/>
    <w:rsid w:val="001B6261"/>
    <w:rsid w:val="001B6476"/>
    <w:rsid w:val="001B675E"/>
    <w:rsid w:val="001C1CC4"/>
    <w:rsid w:val="001C5CB1"/>
    <w:rsid w:val="001E4EA1"/>
    <w:rsid w:val="002050AD"/>
    <w:rsid w:val="00212286"/>
    <w:rsid w:val="002122C9"/>
    <w:rsid w:val="00221C97"/>
    <w:rsid w:val="00243FC5"/>
    <w:rsid w:val="00245582"/>
    <w:rsid w:val="00247867"/>
    <w:rsid w:val="002529DE"/>
    <w:rsid w:val="00260584"/>
    <w:rsid w:val="002666EC"/>
    <w:rsid w:val="00283533"/>
    <w:rsid w:val="0028729C"/>
    <w:rsid w:val="002929E4"/>
    <w:rsid w:val="00293A69"/>
    <w:rsid w:val="0029408C"/>
    <w:rsid w:val="00294B05"/>
    <w:rsid w:val="002A0B91"/>
    <w:rsid w:val="002A5DA0"/>
    <w:rsid w:val="002B1C84"/>
    <w:rsid w:val="002B78FD"/>
    <w:rsid w:val="002D058A"/>
    <w:rsid w:val="002D066D"/>
    <w:rsid w:val="002D0946"/>
    <w:rsid w:val="002D37FC"/>
    <w:rsid w:val="002D5ABB"/>
    <w:rsid w:val="002E47B0"/>
    <w:rsid w:val="002E4D81"/>
    <w:rsid w:val="002E7C15"/>
    <w:rsid w:val="002E7FE3"/>
    <w:rsid w:val="002F2D2A"/>
    <w:rsid w:val="002F3FC0"/>
    <w:rsid w:val="002F771E"/>
    <w:rsid w:val="00302102"/>
    <w:rsid w:val="00317C2B"/>
    <w:rsid w:val="003208AC"/>
    <w:rsid w:val="0032637A"/>
    <w:rsid w:val="00327A06"/>
    <w:rsid w:val="00346EE7"/>
    <w:rsid w:val="0035155C"/>
    <w:rsid w:val="003519D4"/>
    <w:rsid w:val="00353588"/>
    <w:rsid w:val="003537E3"/>
    <w:rsid w:val="0035390A"/>
    <w:rsid w:val="00354FE7"/>
    <w:rsid w:val="003643A6"/>
    <w:rsid w:val="00366C2F"/>
    <w:rsid w:val="00372A94"/>
    <w:rsid w:val="003747E1"/>
    <w:rsid w:val="00375BF8"/>
    <w:rsid w:val="00375ED0"/>
    <w:rsid w:val="003812FB"/>
    <w:rsid w:val="00382901"/>
    <w:rsid w:val="00386079"/>
    <w:rsid w:val="00386F0A"/>
    <w:rsid w:val="003876CB"/>
    <w:rsid w:val="00391AFB"/>
    <w:rsid w:val="003938E6"/>
    <w:rsid w:val="003A0112"/>
    <w:rsid w:val="003A3B75"/>
    <w:rsid w:val="003A4CAD"/>
    <w:rsid w:val="003A71D8"/>
    <w:rsid w:val="003B0F9F"/>
    <w:rsid w:val="003D204F"/>
    <w:rsid w:val="003D5A76"/>
    <w:rsid w:val="003E0DAC"/>
    <w:rsid w:val="00402DBA"/>
    <w:rsid w:val="00413665"/>
    <w:rsid w:val="0041567D"/>
    <w:rsid w:val="004163E7"/>
    <w:rsid w:val="004217CA"/>
    <w:rsid w:val="004239D9"/>
    <w:rsid w:val="00424A41"/>
    <w:rsid w:val="00442612"/>
    <w:rsid w:val="00442BC1"/>
    <w:rsid w:val="00450906"/>
    <w:rsid w:val="00452CC5"/>
    <w:rsid w:val="00453051"/>
    <w:rsid w:val="0045467F"/>
    <w:rsid w:val="00460FD0"/>
    <w:rsid w:val="00465E9C"/>
    <w:rsid w:val="0047391D"/>
    <w:rsid w:val="00475D9E"/>
    <w:rsid w:val="00480DA1"/>
    <w:rsid w:val="004878E9"/>
    <w:rsid w:val="00494259"/>
    <w:rsid w:val="004A49F3"/>
    <w:rsid w:val="004C2E18"/>
    <w:rsid w:val="004C4459"/>
    <w:rsid w:val="004C5289"/>
    <w:rsid w:val="004C726D"/>
    <w:rsid w:val="004C760C"/>
    <w:rsid w:val="004D6AF4"/>
    <w:rsid w:val="004E24AB"/>
    <w:rsid w:val="004E2D00"/>
    <w:rsid w:val="004E546C"/>
    <w:rsid w:val="004F0BF2"/>
    <w:rsid w:val="004F1439"/>
    <w:rsid w:val="004F3FC2"/>
    <w:rsid w:val="004F5673"/>
    <w:rsid w:val="00502A7C"/>
    <w:rsid w:val="00522A32"/>
    <w:rsid w:val="005449EE"/>
    <w:rsid w:val="00547B9E"/>
    <w:rsid w:val="00551F08"/>
    <w:rsid w:val="00555482"/>
    <w:rsid w:val="00557FFD"/>
    <w:rsid w:val="00560543"/>
    <w:rsid w:val="005629C7"/>
    <w:rsid w:val="00563442"/>
    <w:rsid w:val="0057050E"/>
    <w:rsid w:val="005765D5"/>
    <w:rsid w:val="00581320"/>
    <w:rsid w:val="00581499"/>
    <w:rsid w:val="0058236C"/>
    <w:rsid w:val="005838EB"/>
    <w:rsid w:val="005979CB"/>
    <w:rsid w:val="005A4FAB"/>
    <w:rsid w:val="005A5848"/>
    <w:rsid w:val="005B7792"/>
    <w:rsid w:val="005C6C56"/>
    <w:rsid w:val="005D0F2B"/>
    <w:rsid w:val="005D1BBC"/>
    <w:rsid w:val="005D6397"/>
    <w:rsid w:val="005E4B97"/>
    <w:rsid w:val="005E520F"/>
    <w:rsid w:val="005F33BB"/>
    <w:rsid w:val="006071C7"/>
    <w:rsid w:val="00617BA0"/>
    <w:rsid w:val="00621A4D"/>
    <w:rsid w:val="00623B27"/>
    <w:rsid w:val="00623E2A"/>
    <w:rsid w:val="0062598F"/>
    <w:rsid w:val="00627DEA"/>
    <w:rsid w:val="0063260D"/>
    <w:rsid w:val="006427E3"/>
    <w:rsid w:val="00642B9F"/>
    <w:rsid w:val="00656A8D"/>
    <w:rsid w:val="00662E09"/>
    <w:rsid w:val="00666307"/>
    <w:rsid w:val="0066788D"/>
    <w:rsid w:val="00670C14"/>
    <w:rsid w:val="00673DD0"/>
    <w:rsid w:val="00681777"/>
    <w:rsid w:val="00682C37"/>
    <w:rsid w:val="006912D5"/>
    <w:rsid w:val="006924D3"/>
    <w:rsid w:val="006940EC"/>
    <w:rsid w:val="0069442A"/>
    <w:rsid w:val="006A117C"/>
    <w:rsid w:val="006A3CEF"/>
    <w:rsid w:val="006A465B"/>
    <w:rsid w:val="006B74F8"/>
    <w:rsid w:val="006C4D40"/>
    <w:rsid w:val="006C6AE4"/>
    <w:rsid w:val="006D0459"/>
    <w:rsid w:val="006D7189"/>
    <w:rsid w:val="006E0357"/>
    <w:rsid w:val="006E1BBF"/>
    <w:rsid w:val="006E3173"/>
    <w:rsid w:val="006E595C"/>
    <w:rsid w:val="006E5E84"/>
    <w:rsid w:val="006E6D9C"/>
    <w:rsid w:val="006F12C0"/>
    <w:rsid w:val="006F17E9"/>
    <w:rsid w:val="006F2F43"/>
    <w:rsid w:val="00700D23"/>
    <w:rsid w:val="007016CE"/>
    <w:rsid w:val="00702252"/>
    <w:rsid w:val="00704842"/>
    <w:rsid w:val="0070595D"/>
    <w:rsid w:val="00707A04"/>
    <w:rsid w:val="00713E1F"/>
    <w:rsid w:val="00716311"/>
    <w:rsid w:val="00726C7B"/>
    <w:rsid w:val="00727763"/>
    <w:rsid w:val="00731D40"/>
    <w:rsid w:val="00734332"/>
    <w:rsid w:val="00735154"/>
    <w:rsid w:val="00757094"/>
    <w:rsid w:val="00761552"/>
    <w:rsid w:val="00762F46"/>
    <w:rsid w:val="007656F4"/>
    <w:rsid w:val="00766ECD"/>
    <w:rsid w:val="00782035"/>
    <w:rsid w:val="00786AF2"/>
    <w:rsid w:val="007922AD"/>
    <w:rsid w:val="00796988"/>
    <w:rsid w:val="007A34C6"/>
    <w:rsid w:val="007A55DC"/>
    <w:rsid w:val="007B5198"/>
    <w:rsid w:val="007C2B0B"/>
    <w:rsid w:val="007C4F40"/>
    <w:rsid w:val="007C6D5B"/>
    <w:rsid w:val="007D00C4"/>
    <w:rsid w:val="007D0845"/>
    <w:rsid w:val="007E3E26"/>
    <w:rsid w:val="007E43A2"/>
    <w:rsid w:val="007F0882"/>
    <w:rsid w:val="007F1379"/>
    <w:rsid w:val="007F1480"/>
    <w:rsid w:val="007F229F"/>
    <w:rsid w:val="007F50CA"/>
    <w:rsid w:val="007F5105"/>
    <w:rsid w:val="007F7A3C"/>
    <w:rsid w:val="0080745A"/>
    <w:rsid w:val="008105E7"/>
    <w:rsid w:val="0081147C"/>
    <w:rsid w:val="00816105"/>
    <w:rsid w:val="00816A76"/>
    <w:rsid w:val="00816BA9"/>
    <w:rsid w:val="00820BB3"/>
    <w:rsid w:val="00822714"/>
    <w:rsid w:val="008256F9"/>
    <w:rsid w:val="008366D6"/>
    <w:rsid w:val="00843B64"/>
    <w:rsid w:val="00851967"/>
    <w:rsid w:val="00852D55"/>
    <w:rsid w:val="008554F6"/>
    <w:rsid w:val="0085653D"/>
    <w:rsid w:val="008619F3"/>
    <w:rsid w:val="0087007D"/>
    <w:rsid w:val="008719EB"/>
    <w:rsid w:val="00874AF7"/>
    <w:rsid w:val="00874D11"/>
    <w:rsid w:val="00875328"/>
    <w:rsid w:val="00875DAA"/>
    <w:rsid w:val="00877D39"/>
    <w:rsid w:val="00880205"/>
    <w:rsid w:val="00884B3E"/>
    <w:rsid w:val="0089158C"/>
    <w:rsid w:val="00894DCA"/>
    <w:rsid w:val="00897A15"/>
    <w:rsid w:val="008A2B02"/>
    <w:rsid w:val="008B54A6"/>
    <w:rsid w:val="008B5632"/>
    <w:rsid w:val="008C13B8"/>
    <w:rsid w:val="008C5AD9"/>
    <w:rsid w:val="008D242A"/>
    <w:rsid w:val="008D3C61"/>
    <w:rsid w:val="008D40D0"/>
    <w:rsid w:val="008D42A9"/>
    <w:rsid w:val="008D7EA3"/>
    <w:rsid w:val="008E05D2"/>
    <w:rsid w:val="008E21DE"/>
    <w:rsid w:val="008E639E"/>
    <w:rsid w:val="008E767A"/>
    <w:rsid w:val="008F143B"/>
    <w:rsid w:val="00902B18"/>
    <w:rsid w:val="0090604F"/>
    <w:rsid w:val="00906507"/>
    <w:rsid w:val="009175AA"/>
    <w:rsid w:val="00920F2F"/>
    <w:rsid w:val="00927423"/>
    <w:rsid w:val="00932235"/>
    <w:rsid w:val="009335FD"/>
    <w:rsid w:val="00934807"/>
    <w:rsid w:val="00941037"/>
    <w:rsid w:val="00952C0A"/>
    <w:rsid w:val="00956A20"/>
    <w:rsid w:val="00956EBB"/>
    <w:rsid w:val="00961627"/>
    <w:rsid w:val="009656A6"/>
    <w:rsid w:val="0096640A"/>
    <w:rsid w:val="00967254"/>
    <w:rsid w:val="009747EB"/>
    <w:rsid w:val="00987F4F"/>
    <w:rsid w:val="009A38F3"/>
    <w:rsid w:val="009A4962"/>
    <w:rsid w:val="009A4D71"/>
    <w:rsid w:val="009A5D1A"/>
    <w:rsid w:val="009A7162"/>
    <w:rsid w:val="009B38C2"/>
    <w:rsid w:val="009B6D44"/>
    <w:rsid w:val="009B778E"/>
    <w:rsid w:val="009C2A6F"/>
    <w:rsid w:val="009D299E"/>
    <w:rsid w:val="009D3D55"/>
    <w:rsid w:val="009D6CEC"/>
    <w:rsid w:val="009E2B38"/>
    <w:rsid w:val="009F02FB"/>
    <w:rsid w:val="00A00F97"/>
    <w:rsid w:val="00A04193"/>
    <w:rsid w:val="00A04878"/>
    <w:rsid w:val="00A06F92"/>
    <w:rsid w:val="00A12F93"/>
    <w:rsid w:val="00A15766"/>
    <w:rsid w:val="00A233D2"/>
    <w:rsid w:val="00A250AF"/>
    <w:rsid w:val="00A32EAF"/>
    <w:rsid w:val="00A343B5"/>
    <w:rsid w:val="00A36D94"/>
    <w:rsid w:val="00A37A5B"/>
    <w:rsid w:val="00A4457A"/>
    <w:rsid w:val="00A461E0"/>
    <w:rsid w:val="00A5079A"/>
    <w:rsid w:val="00A50CD7"/>
    <w:rsid w:val="00A518BA"/>
    <w:rsid w:val="00A5200A"/>
    <w:rsid w:val="00A5474C"/>
    <w:rsid w:val="00A62F12"/>
    <w:rsid w:val="00A73F45"/>
    <w:rsid w:val="00A762DC"/>
    <w:rsid w:val="00A76367"/>
    <w:rsid w:val="00A83EA8"/>
    <w:rsid w:val="00A84328"/>
    <w:rsid w:val="00A84D59"/>
    <w:rsid w:val="00A8500A"/>
    <w:rsid w:val="00A853E2"/>
    <w:rsid w:val="00A86A16"/>
    <w:rsid w:val="00AB46CE"/>
    <w:rsid w:val="00AB4A59"/>
    <w:rsid w:val="00AC31CE"/>
    <w:rsid w:val="00AC6CE1"/>
    <w:rsid w:val="00AC7F3F"/>
    <w:rsid w:val="00AD17BC"/>
    <w:rsid w:val="00AD2C1A"/>
    <w:rsid w:val="00AD3B53"/>
    <w:rsid w:val="00AD3FB9"/>
    <w:rsid w:val="00AE3908"/>
    <w:rsid w:val="00AE7BE3"/>
    <w:rsid w:val="00AF1438"/>
    <w:rsid w:val="00AF4B42"/>
    <w:rsid w:val="00AF601B"/>
    <w:rsid w:val="00AF6E08"/>
    <w:rsid w:val="00B03007"/>
    <w:rsid w:val="00B11323"/>
    <w:rsid w:val="00B223D7"/>
    <w:rsid w:val="00B24A4B"/>
    <w:rsid w:val="00B24F7A"/>
    <w:rsid w:val="00B30DF0"/>
    <w:rsid w:val="00B35ACC"/>
    <w:rsid w:val="00B4296B"/>
    <w:rsid w:val="00B44E03"/>
    <w:rsid w:val="00B52FD9"/>
    <w:rsid w:val="00B536D7"/>
    <w:rsid w:val="00B61513"/>
    <w:rsid w:val="00B61C67"/>
    <w:rsid w:val="00B66AF0"/>
    <w:rsid w:val="00B67211"/>
    <w:rsid w:val="00B82773"/>
    <w:rsid w:val="00B84D13"/>
    <w:rsid w:val="00B90B55"/>
    <w:rsid w:val="00B91021"/>
    <w:rsid w:val="00B917EB"/>
    <w:rsid w:val="00B9680A"/>
    <w:rsid w:val="00BA45AF"/>
    <w:rsid w:val="00BC081F"/>
    <w:rsid w:val="00BC273E"/>
    <w:rsid w:val="00BC3ABA"/>
    <w:rsid w:val="00BC523E"/>
    <w:rsid w:val="00BD51B7"/>
    <w:rsid w:val="00BD72BA"/>
    <w:rsid w:val="00BD7D60"/>
    <w:rsid w:val="00BE082C"/>
    <w:rsid w:val="00BE4317"/>
    <w:rsid w:val="00BE7705"/>
    <w:rsid w:val="00BF597C"/>
    <w:rsid w:val="00BF5F76"/>
    <w:rsid w:val="00BF6334"/>
    <w:rsid w:val="00C060BE"/>
    <w:rsid w:val="00C06DB0"/>
    <w:rsid w:val="00C147FE"/>
    <w:rsid w:val="00C16F0C"/>
    <w:rsid w:val="00C23990"/>
    <w:rsid w:val="00C32B7E"/>
    <w:rsid w:val="00C403E7"/>
    <w:rsid w:val="00C44FCD"/>
    <w:rsid w:val="00C45FC7"/>
    <w:rsid w:val="00C50895"/>
    <w:rsid w:val="00C56DA7"/>
    <w:rsid w:val="00C5781E"/>
    <w:rsid w:val="00C57AE1"/>
    <w:rsid w:val="00C7052D"/>
    <w:rsid w:val="00C76F1A"/>
    <w:rsid w:val="00C800F2"/>
    <w:rsid w:val="00C8399F"/>
    <w:rsid w:val="00C939A4"/>
    <w:rsid w:val="00C95454"/>
    <w:rsid w:val="00CA6E6F"/>
    <w:rsid w:val="00CC3848"/>
    <w:rsid w:val="00CD54DF"/>
    <w:rsid w:val="00CD57A3"/>
    <w:rsid w:val="00CF4951"/>
    <w:rsid w:val="00CF4B43"/>
    <w:rsid w:val="00CF72CE"/>
    <w:rsid w:val="00D00B0E"/>
    <w:rsid w:val="00D00FFB"/>
    <w:rsid w:val="00D111D6"/>
    <w:rsid w:val="00D11F49"/>
    <w:rsid w:val="00D337F3"/>
    <w:rsid w:val="00D343FC"/>
    <w:rsid w:val="00D36967"/>
    <w:rsid w:val="00D36A64"/>
    <w:rsid w:val="00D41312"/>
    <w:rsid w:val="00D43F06"/>
    <w:rsid w:val="00D449A5"/>
    <w:rsid w:val="00D471D8"/>
    <w:rsid w:val="00D645C3"/>
    <w:rsid w:val="00D71C2F"/>
    <w:rsid w:val="00D7623B"/>
    <w:rsid w:val="00D80034"/>
    <w:rsid w:val="00D9342E"/>
    <w:rsid w:val="00D9420A"/>
    <w:rsid w:val="00D9480E"/>
    <w:rsid w:val="00D953E2"/>
    <w:rsid w:val="00D96A7F"/>
    <w:rsid w:val="00D97DBF"/>
    <w:rsid w:val="00DA3784"/>
    <w:rsid w:val="00DA5F3D"/>
    <w:rsid w:val="00DB07E7"/>
    <w:rsid w:val="00DB1344"/>
    <w:rsid w:val="00DD073A"/>
    <w:rsid w:val="00DD2D73"/>
    <w:rsid w:val="00DE14C0"/>
    <w:rsid w:val="00DE52B9"/>
    <w:rsid w:val="00DE553A"/>
    <w:rsid w:val="00DF1874"/>
    <w:rsid w:val="00DF5FD0"/>
    <w:rsid w:val="00E00AA8"/>
    <w:rsid w:val="00E059D9"/>
    <w:rsid w:val="00E06A94"/>
    <w:rsid w:val="00E12185"/>
    <w:rsid w:val="00E12BF9"/>
    <w:rsid w:val="00E20B21"/>
    <w:rsid w:val="00E23A7F"/>
    <w:rsid w:val="00E251A2"/>
    <w:rsid w:val="00E25935"/>
    <w:rsid w:val="00E26C27"/>
    <w:rsid w:val="00E32983"/>
    <w:rsid w:val="00E36258"/>
    <w:rsid w:val="00E36E98"/>
    <w:rsid w:val="00E47042"/>
    <w:rsid w:val="00E47E2E"/>
    <w:rsid w:val="00E52347"/>
    <w:rsid w:val="00E524CD"/>
    <w:rsid w:val="00E546C0"/>
    <w:rsid w:val="00E56359"/>
    <w:rsid w:val="00E565F1"/>
    <w:rsid w:val="00E6038C"/>
    <w:rsid w:val="00E6041B"/>
    <w:rsid w:val="00E6056B"/>
    <w:rsid w:val="00E6430E"/>
    <w:rsid w:val="00E77409"/>
    <w:rsid w:val="00E81046"/>
    <w:rsid w:val="00E82132"/>
    <w:rsid w:val="00E862AA"/>
    <w:rsid w:val="00E90497"/>
    <w:rsid w:val="00EA4040"/>
    <w:rsid w:val="00EA58A2"/>
    <w:rsid w:val="00EA7E01"/>
    <w:rsid w:val="00EB047A"/>
    <w:rsid w:val="00EB7113"/>
    <w:rsid w:val="00EB779A"/>
    <w:rsid w:val="00EC013F"/>
    <w:rsid w:val="00ED323E"/>
    <w:rsid w:val="00ED490B"/>
    <w:rsid w:val="00ED7E86"/>
    <w:rsid w:val="00EE089C"/>
    <w:rsid w:val="00F00561"/>
    <w:rsid w:val="00F0281D"/>
    <w:rsid w:val="00F10DBF"/>
    <w:rsid w:val="00F10F81"/>
    <w:rsid w:val="00F11C01"/>
    <w:rsid w:val="00F228A6"/>
    <w:rsid w:val="00F23D78"/>
    <w:rsid w:val="00F24D77"/>
    <w:rsid w:val="00F27564"/>
    <w:rsid w:val="00F30379"/>
    <w:rsid w:val="00F329D2"/>
    <w:rsid w:val="00F42EF7"/>
    <w:rsid w:val="00F50ECA"/>
    <w:rsid w:val="00F51B3B"/>
    <w:rsid w:val="00F73782"/>
    <w:rsid w:val="00F7523D"/>
    <w:rsid w:val="00F76B7C"/>
    <w:rsid w:val="00F80C3C"/>
    <w:rsid w:val="00F83FD2"/>
    <w:rsid w:val="00F8581D"/>
    <w:rsid w:val="00F85C3C"/>
    <w:rsid w:val="00F9529B"/>
    <w:rsid w:val="00FA7036"/>
    <w:rsid w:val="00FB4AF5"/>
    <w:rsid w:val="00FB6725"/>
    <w:rsid w:val="00FB707C"/>
    <w:rsid w:val="00FC1BCB"/>
    <w:rsid w:val="00FD0958"/>
    <w:rsid w:val="00FD5D91"/>
    <w:rsid w:val="00FE0836"/>
    <w:rsid w:val="00FE57B5"/>
    <w:rsid w:val="00FF1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D5A35E"/>
  <w15:chartTrackingRefBased/>
  <w15:docId w15:val="{857066A8-77C4-4C99-9BE0-26C2A1C40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44D0A"/>
    <w:pPr>
      <w:keepNext/>
      <w:keepLines/>
      <w:numPr>
        <w:numId w:val="7"/>
      </w:numPr>
      <w:pBdr>
        <w:bottom w:val="single" w:sz="4" w:space="1" w:color="auto"/>
      </w:pBdr>
      <w:spacing w:before="120" w:after="0" w:line="280" w:lineRule="exact"/>
      <w:ind w:left="709"/>
      <w:outlineLvl w:val="0"/>
    </w:pPr>
    <w:rPr>
      <w:rFonts w:ascii="Century Gothic" w:eastAsiaTheme="majorEastAsia" w:hAnsi="Century Gothic" w:cs="Arial"/>
      <w:b/>
      <w:bCs/>
      <w:caps/>
      <w:color w:val="000000" w:themeColor="text1"/>
      <w:sz w:val="20"/>
      <w:szCs w:val="28"/>
      <w:lang w:val="en-US"/>
    </w:rPr>
  </w:style>
  <w:style w:type="paragraph" w:styleId="Heading2">
    <w:name w:val="heading 2"/>
    <w:basedOn w:val="Normal"/>
    <w:next w:val="Normal"/>
    <w:link w:val="Heading2Char"/>
    <w:unhideWhenUsed/>
    <w:qFormat/>
    <w:rsid w:val="00245582"/>
    <w:pPr>
      <w:keepNext/>
      <w:keepLines/>
      <w:numPr>
        <w:ilvl w:val="1"/>
        <w:numId w:val="7"/>
      </w:numPr>
      <w:spacing w:before="200" w:after="0" w:line="280" w:lineRule="exact"/>
      <w:outlineLvl w:val="1"/>
    </w:pPr>
    <w:rPr>
      <w:rFonts w:ascii="Arial" w:eastAsiaTheme="majorEastAsia" w:hAnsi="Arial" w:cstheme="majorBidi"/>
      <w:b/>
      <w:bCs/>
      <w:color w:val="000000" w:themeColor="text1"/>
      <w:sz w:val="20"/>
      <w:szCs w:val="26"/>
      <w:lang w:val="en-US"/>
    </w:rPr>
  </w:style>
  <w:style w:type="paragraph" w:styleId="Heading3">
    <w:name w:val="heading 3"/>
    <w:basedOn w:val="Normal"/>
    <w:next w:val="Normal"/>
    <w:link w:val="Heading3Char"/>
    <w:unhideWhenUsed/>
    <w:qFormat/>
    <w:rsid w:val="008E767A"/>
    <w:pPr>
      <w:keepNext/>
      <w:keepLines/>
      <w:numPr>
        <w:ilvl w:val="2"/>
        <w:numId w:val="7"/>
      </w:numPr>
      <w:spacing w:before="200" w:after="0" w:line="280" w:lineRule="exact"/>
      <w:outlineLvl w:val="2"/>
    </w:pPr>
    <w:rPr>
      <w:rFonts w:ascii="Arial" w:eastAsiaTheme="majorEastAsia" w:hAnsi="Arial" w:cstheme="majorBidi"/>
      <w:b/>
      <w:bCs/>
      <w:color w:val="000000" w:themeColor="text1"/>
      <w:sz w:val="20"/>
      <w:lang w:val="en-US"/>
    </w:rPr>
  </w:style>
  <w:style w:type="paragraph" w:styleId="Heading4">
    <w:name w:val="heading 4"/>
    <w:basedOn w:val="Normal"/>
    <w:next w:val="Normal"/>
    <w:link w:val="Heading4Char"/>
    <w:unhideWhenUsed/>
    <w:qFormat/>
    <w:rsid w:val="008E767A"/>
    <w:pPr>
      <w:keepNext/>
      <w:keepLines/>
      <w:numPr>
        <w:ilvl w:val="3"/>
        <w:numId w:val="7"/>
      </w:numPr>
      <w:spacing w:before="200" w:after="0" w:line="280" w:lineRule="exact"/>
      <w:outlineLvl w:val="3"/>
    </w:pPr>
    <w:rPr>
      <w:rFonts w:asciiTheme="majorHAnsi" w:eastAsiaTheme="majorEastAsia" w:hAnsiTheme="majorHAnsi" w:cstheme="majorBidi"/>
      <w:b/>
      <w:bCs/>
      <w:i/>
      <w:iCs/>
      <w:color w:val="5F616D" w:themeColor="accent1"/>
      <w:sz w:val="20"/>
      <w:lang w:val="en-US"/>
    </w:rPr>
  </w:style>
  <w:style w:type="paragraph" w:styleId="Heading5">
    <w:name w:val="heading 5"/>
    <w:basedOn w:val="Normal"/>
    <w:next w:val="Normal"/>
    <w:link w:val="Heading5Char"/>
    <w:unhideWhenUsed/>
    <w:qFormat/>
    <w:rsid w:val="008E767A"/>
    <w:pPr>
      <w:keepNext/>
      <w:keepLines/>
      <w:numPr>
        <w:ilvl w:val="4"/>
        <w:numId w:val="7"/>
      </w:numPr>
      <w:spacing w:before="200" w:after="0" w:line="280" w:lineRule="exact"/>
      <w:outlineLvl w:val="4"/>
    </w:pPr>
    <w:rPr>
      <w:rFonts w:asciiTheme="majorHAnsi" w:eastAsiaTheme="majorEastAsia" w:hAnsiTheme="majorHAnsi" w:cstheme="majorBidi"/>
      <w:color w:val="2F3036" w:themeColor="accent1" w:themeShade="7F"/>
      <w:sz w:val="20"/>
      <w:lang w:val="en-US"/>
    </w:rPr>
  </w:style>
  <w:style w:type="paragraph" w:styleId="Heading6">
    <w:name w:val="heading 6"/>
    <w:basedOn w:val="Normal"/>
    <w:next w:val="Normal"/>
    <w:link w:val="Heading6Char"/>
    <w:unhideWhenUsed/>
    <w:qFormat/>
    <w:rsid w:val="008E767A"/>
    <w:pPr>
      <w:keepNext/>
      <w:keepLines/>
      <w:numPr>
        <w:ilvl w:val="5"/>
        <w:numId w:val="7"/>
      </w:numPr>
      <w:spacing w:before="200" w:after="0" w:line="280" w:lineRule="exact"/>
      <w:outlineLvl w:val="5"/>
    </w:pPr>
    <w:rPr>
      <w:rFonts w:asciiTheme="majorHAnsi" w:eastAsiaTheme="majorEastAsia" w:hAnsiTheme="majorHAnsi" w:cstheme="majorBidi"/>
      <w:i/>
      <w:iCs/>
      <w:color w:val="2F3036" w:themeColor="accent1" w:themeShade="7F"/>
      <w:sz w:val="20"/>
      <w:lang w:val="en-US"/>
    </w:rPr>
  </w:style>
  <w:style w:type="paragraph" w:styleId="Heading7">
    <w:name w:val="heading 7"/>
    <w:basedOn w:val="Normal"/>
    <w:next w:val="Normal"/>
    <w:link w:val="Heading7Char"/>
    <w:unhideWhenUsed/>
    <w:qFormat/>
    <w:rsid w:val="008E767A"/>
    <w:pPr>
      <w:keepNext/>
      <w:keepLines/>
      <w:numPr>
        <w:ilvl w:val="6"/>
        <w:numId w:val="7"/>
      </w:numPr>
      <w:spacing w:before="200" w:after="0" w:line="280" w:lineRule="exac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lang w:val="en-US"/>
    </w:rPr>
  </w:style>
  <w:style w:type="paragraph" w:styleId="Heading8">
    <w:name w:val="heading 8"/>
    <w:basedOn w:val="Normal"/>
    <w:next w:val="Normal"/>
    <w:link w:val="Heading8Char"/>
    <w:unhideWhenUsed/>
    <w:qFormat/>
    <w:rsid w:val="008E767A"/>
    <w:pPr>
      <w:keepNext/>
      <w:keepLines/>
      <w:numPr>
        <w:ilvl w:val="7"/>
        <w:numId w:val="7"/>
      </w:numPr>
      <w:spacing w:before="200" w:after="0" w:line="280" w:lineRule="exact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paragraph" w:styleId="Heading9">
    <w:name w:val="heading 9"/>
    <w:basedOn w:val="Normal"/>
    <w:next w:val="Normal"/>
    <w:link w:val="Heading9Char"/>
    <w:unhideWhenUsed/>
    <w:qFormat/>
    <w:rsid w:val="008E767A"/>
    <w:pPr>
      <w:keepNext/>
      <w:keepLines/>
      <w:numPr>
        <w:ilvl w:val="8"/>
        <w:numId w:val="7"/>
      </w:numPr>
      <w:spacing w:before="200" w:after="0" w:line="280" w:lineRule="exac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0836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FE0836"/>
    <w:rPr>
      <w:lang w:val="en-GB"/>
    </w:rPr>
  </w:style>
  <w:style w:type="table" w:styleId="TableGrid">
    <w:name w:val="Table Grid"/>
    <w:basedOn w:val="TableNormal"/>
    <w:uiPriority w:val="39"/>
    <w:rsid w:val="00FE08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227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27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27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27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271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27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714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Bullet List,FooterText,Casella di testo,Holis indice"/>
    <w:basedOn w:val="Normal"/>
    <w:link w:val="ListParagraphChar"/>
    <w:uiPriority w:val="34"/>
    <w:qFormat/>
    <w:rsid w:val="0044261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25D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5DAB"/>
  </w:style>
  <w:style w:type="paragraph" w:customStyle="1" w:styleId="TitleBlock">
    <w:name w:val="Title Block"/>
    <w:qFormat/>
    <w:rsid w:val="00025DAB"/>
    <w:pPr>
      <w:spacing w:after="0" w:line="240" w:lineRule="auto"/>
      <w:ind w:left="144"/>
    </w:pPr>
    <w:rPr>
      <w:b/>
      <w:noProof/>
      <w:sz w:val="40"/>
      <w:lang w:val="en-US"/>
    </w:rPr>
  </w:style>
  <w:style w:type="paragraph" w:customStyle="1" w:styleId="TitleBlock-Sub">
    <w:name w:val="Title Block - Sub"/>
    <w:qFormat/>
    <w:rsid w:val="00025DAB"/>
    <w:pPr>
      <w:spacing w:after="0" w:line="240" w:lineRule="auto"/>
      <w:ind w:left="144"/>
    </w:pPr>
    <w:rPr>
      <w:rFonts w:ascii="Book Antiqua" w:hAnsi="Book Antiqua"/>
      <w:b/>
      <w:sz w:val="28"/>
      <w:szCs w:val="28"/>
      <w:lang w:val="en-US"/>
    </w:rPr>
  </w:style>
  <w:style w:type="character" w:customStyle="1" w:styleId="Heading1Char">
    <w:name w:val="Heading 1 Char"/>
    <w:basedOn w:val="DefaultParagraphFont"/>
    <w:link w:val="Heading1"/>
    <w:rsid w:val="00144D0A"/>
    <w:rPr>
      <w:rFonts w:ascii="Century Gothic" w:eastAsiaTheme="majorEastAsia" w:hAnsi="Century Gothic" w:cs="Arial"/>
      <w:b/>
      <w:bCs/>
      <w:caps/>
      <w:color w:val="000000" w:themeColor="text1"/>
      <w:sz w:val="20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245582"/>
    <w:rPr>
      <w:rFonts w:ascii="Arial" w:eastAsiaTheme="majorEastAsia" w:hAnsi="Arial" w:cstheme="majorBidi"/>
      <w:b/>
      <w:bCs/>
      <w:color w:val="000000" w:themeColor="text1"/>
      <w:sz w:val="20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8E767A"/>
    <w:rPr>
      <w:rFonts w:ascii="Arial" w:eastAsiaTheme="majorEastAsia" w:hAnsi="Arial" w:cstheme="majorBidi"/>
      <w:b/>
      <w:bCs/>
      <w:color w:val="000000" w:themeColor="text1"/>
      <w:sz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8E767A"/>
    <w:rPr>
      <w:rFonts w:asciiTheme="majorHAnsi" w:eastAsiaTheme="majorEastAsia" w:hAnsiTheme="majorHAnsi" w:cstheme="majorBidi"/>
      <w:b/>
      <w:bCs/>
      <w:i/>
      <w:iCs/>
      <w:color w:val="5F616D" w:themeColor="accent1"/>
      <w:sz w:val="20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E767A"/>
    <w:rPr>
      <w:rFonts w:asciiTheme="majorHAnsi" w:eastAsiaTheme="majorEastAsia" w:hAnsiTheme="majorHAnsi" w:cstheme="majorBidi"/>
      <w:color w:val="2F3036" w:themeColor="accent1" w:themeShade="7F"/>
      <w:sz w:val="20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E767A"/>
    <w:rPr>
      <w:rFonts w:asciiTheme="majorHAnsi" w:eastAsiaTheme="majorEastAsia" w:hAnsiTheme="majorHAnsi" w:cstheme="majorBidi"/>
      <w:i/>
      <w:iCs/>
      <w:color w:val="2F3036" w:themeColor="accent1" w:themeShade="7F"/>
      <w:sz w:val="20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E767A"/>
    <w:rPr>
      <w:rFonts w:asciiTheme="majorHAnsi" w:eastAsiaTheme="majorEastAsia" w:hAnsiTheme="majorHAnsi" w:cstheme="majorBidi"/>
      <w:i/>
      <w:iCs/>
      <w:color w:val="404040" w:themeColor="text1" w:themeTint="BF"/>
      <w:sz w:val="20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E767A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E76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7F5105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E5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  <w:style w:type="paragraph" w:styleId="NoSpacing">
    <w:name w:val="No Spacing"/>
    <w:link w:val="NoSpacingChar"/>
    <w:uiPriority w:val="1"/>
    <w:qFormat/>
    <w:rsid w:val="0089158C"/>
    <w:pPr>
      <w:spacing w:after="0" w:line="240" w:lineRule="auto"/>
    </w:pPr>
  </w:style>
  <w:style w:type="character" w:customStyle="1" w:styleId="ListParagraphChar">
    <w:name w:val="List Paragraph Char"/>
    <w:aliases w:val="Bullet List Char,FooterText Char,Casella di testo Char,Holis indice Char"/>
    <w:basedOn w:val="DefaultParagraphFont"/>
    <w:link w:val="ListParagraph"/>
    <w:uiPriority w:val="34"/>
    <w:locked/>
    <w:rsid w:val="00F7523D"/>
  </w:style>
  <w:style w:type="character" w:styleId="UnresolvedMention">
    <w:name w:val="Unresolved Mention"/>
    <w:basedOn w:val="DefaultParagraphFont"/>
    <w:uiPriority w:val="99"/>
    <w:semiHidden/>
    <w:unhideWhenUsed/>
    <w:rsid w:val="00731D40"/>
    <w:rPr>
      <w:color w:val="808080"/>
      <w:shd w:val="clear" w:color="auto" w:fill="E6E6E6"/>
    </w:rPr>
  </w:style>
  <w:style w:type="character" w:customStyle="1" w:styleId="NoSpacingChar">
    <w:name w:val="No Spacing Char"/>
    <w:basedOn w:val="DefaultParagraphFont"/>
    <w:link w:val="NoSpacing"/>
    <w:uiPriority w:val="1"/>
    <w:rsid w:val="004F56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8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IBIS">
  <a:themeElements>
    <a:clrScheme name="Custom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F616D"/>
      </a:accent1>
      <a:accent2>
        <a:srgbClr val="807D83"/>
      </a:accent2>
      <a:accent3>
        <a:srgbClr val="CDC1BB"/>
      </a:accent3>
      <a:accent4>
        <a:srgbClr val="F1F1F1"/>
      </a:accent4>
      <a:accent5>
        <a:srgbClr val="EF827C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DC Document" ma:contentTypeID="0x0101001AE287E3BCC07049AAD0134B3AFED405009761BC1EB75EAE4B8302D2DAADBDEFBF" ma:contentTypeVersion="0" ma:contentTypeDescription="" ma:contentTypeScope="" ma:versionID="65ed454673d25e1926b3e785eec3f986">
  <xsd:schema xmlns:xsd="http://www.w3.org/2001/XMLSchema" xmlns:xs="http://www.w3.org/2001/XMLSchema" xmlns:p="http://schemas.microsoft.com/office/2006/metadata/properties" xmlns:ns2="870cb497-4044-4cf2-90cc-f4ae0dbc3665" targetNamespace="http://schemas.microsoft.com/office/2006/metadata/properties" ma:root="true" ma:fieldsID="16fb5be2929f0efc3934c1d345e5733f" ns2:_="">
    <xsd:import namespace="870cb497-4044-4cf2-90cc-f4ae0dbc3665"/>
    <xsd:element name="properties">
      <xsd:complexType>
        <xsd:sequence>
          <xsd:element name="documentManagement">
            <xsd:complexType>
              <xsd:all>
                <xsd:element ref="ns2:e60208c032404629b4d3226b63133635" minOccurs="0"/>
                <xsd:element ref="ns2:TaxCatchAll" minOccurs="0"/>
                <xsd:element ref="ns2:TaxCatchAllLabel" minOccurs="0"/>
                <xsd:element ref="ns2:m84d7c7f63cb451b899bccc83df50b61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0cb497-4044-4cf2-90cc-f4ae0dbc3665" elementFormDefault="qualified">
    <xsd:import namespace="http://schemas.microsoft.com/office/2006/documentManagement/types"/>
    <xsd:import namespace="http://schemas.microsoft.com/office/infopath/2007/PartnerControls"/>
    <xsd:element name="e60208c032404629b4d3226b63133635" ma:index="8" nillable="true" ma:taxonomy="true" ma:internalName="e60208c032404629b4d3226b63133635" ma:taxonomyFieldName="CDCRelateTo" ma:displayName="Relates To" ma:default="33;#Environmental and Social Responsibility|33ad2915-8861-4337-ac5a-5f7bdfeb2377" ma:fieldId="{e60208c0-3240-4629-b4d3-226b63133635}" ma:taxonomyMulti="true" ma:sspId="a5800705-6cab-460c-b450-fee685b6c533" ma:termSetId="393c547d-ea85-45f5-81e1-f49dc26bf66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abfd7f20-e017-4127-9f61-fe49932a1126}" ma:internalName="TaxCatchAll" ma:showField="CatchAllData" ma:web="2b16538c-59ea-4e35-9e08-52b56f7372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abfd7f20-e017-4127-9f61-fe49932a1126}" ma:internalName="TaxCatchAllLabel" ma:readOnly="true" ma:showField="CatchAllDataLabel" ma:web="2b16538c-59ea-4e35-9e08-52b56f7372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84d7c7f63cb451b899bccc83df50b61" ma:index="12" nillable="true" ma:taxonomy="true" ma:internalName="m84d7c7f63cb451b899bccc83df50b61" ma:taxonomyFieldName="CDCDocumentType" ma:displayName="Document Type" ma:default="" ma:fieldId="{684d7c7f-63cb-451b-899b-ccc83df50b61}" ma:sspId="a5800705-6cab-460c-b450-fee685b6c533" ma:termSetId="9f4130ef-8c5c-407c-aa7b-8c88a3643df3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70cb497-4044-4cf2-90cc-f4ae0dbc3665">
      <Value>33</Value>
    </TaxCatchAll>
    <e60208c032404629b4d3226b63133635 xmlns="870cb497-4044-4cf2-90cc-f4ae0dbc3665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Environmental and Social Responsibility</TermName>
          <TermId xmlns="http://schemas.microsoft.com/office/infopath/2007/PartnerControls">33ad2915-8861-4337-ac5a-5f7bdfeb2377</TermId>
        </TermInfo>
      </Terms>
    </e60208c032404629b4d3226b63133635>
    <m84d7c7f63cb451b899bccc83df50b61 xmlns="870cb497-4044-4cf2-90cc-f4ae0dbc3665">
      <Terms xmlns="http://schemas.microsoft.com/office/infopath/2007/PartnerControls"/>
    </m84d7c7f63cb451b899bccc83df50b61>
  </documentManagement>
</p:properties>
</file>

<file path=customXml/item4.xml><?xml version="1.0" encoding="utf-8"?>
<?mso-contentType ?>
<SharedContentType xmlns="Microsoft.SharePoint.Taxonomy.ContentTypeSync" SourceId="a5800705-6cab-460c-b450-fee685b6c533" ContentTypeId="0x0101001AE287E3BCC07049AAD0134B3AFED405" PreviousValue="false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FFB7FB-7123-47E1-8000-4C9341CF4C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0cb497-4044-4cf2-90cc-f4ae0dbc36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1B814DA-BBD9-4098-884A-7A8EC98775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0DF37E-8973-4FEC-93C2-7DA0C2C4101F}">
  <ds:schemaRefs>
    <ds:schemaRef ds:uri="http://schemas.microsoft.com/office/2006/metadata/properties"/>
    <ds:schemaRef ds:uri="http://schemas.microsoft.com/office/infopath/2007/PartnerControls"/>
    <ds:schemaRef ds:uri="870cb497-4044-4cf2-90cc-f4ae0dbc3665"/>
  </ds:schemaRefs>
</ds:datastoreItem>
</file>

<file path=customXml/itemProps4.xml><?xml version="1.0" encoding="utf-8"?>
<ds:datastoreItem xmlns:ds="http://schemas.openxmlformats.org/officeDocument/2006/customXml" ds:itemID="{3CA9F7F0-E943-4229-8500-D33766FA9B76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5680118E-6851-480E-80E9-BD3B51205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659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maeva@ibisconsulting.com</dc:creator>
  <cp:keywords/>
  <dc:description/>
  <cp:lastModifiedBy>Banji Jackson-Oke</cp:lastModifiedBy>
  <cp:revision>30</cp:revision>
  <dcterms:created xsi:type="dcterms:W3CDTF">2021-03-05T06:54:00Z</dcterms:created>
  <dcterms:modified xsi:type="dcterms:W3CDTF">2021-06-06T16:46:00Z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0x0101001AE287E3BCC07049AAD0134B3AFED405009761BC1EB75EAE4B8302D2DAADBDEFBF</vt:lpwstr>
  </property>
  <property fmtid="{D5CDD505-2E9C-101B-9397-08002B2CF9AE}" pid="3" name="CDCRelateTo">
    <vt:lpwstr>33;#Environmental and Social Responsibility|33ad2915-8861-4337-ac5a-5f7bdfeb2377</vt:lpwstr>
  </property>
  <property fmtid="{D5CDD505-2E9C-101B-9397-08002B2CF9AE}" pid="4" name="CDCDocumentType">
    <vt:lpwstr/>
  </property>
</Properties>
</file>